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6B7D5D">
      <w:pPr>
        <w:tabs>
          <w:tab w:val="clear" w:pos="4150"/>
          <w:tab w:val="clear" w:pos="10103"/>
        </w:tabs>
        <w:wordWrap w:val="0"/>
        <w:spacing w:line="240" w:lineRule="auto"/>
        <w:ind w:firstLine="0" w:firstLineChars="0"/>
        <w:jc w:val="right"/>
        <w:rPr>
          <w:rFonts w:hint="eastAsia" w:ascii="宋体" w:hAnsi="宋体" w:cs="宋体"/>
          <w:kern w:val="0"/>
        </w:rPr>
      </w:pPr>
      <w:bookmarkStart w:id="0" w:name="_Toc511320447"/>
      <w:bookmarkStart w:id="1" w:name="_Toc511311514"/>
      <w:r>
        <w:rPr>
          <w:rFonts w:ascii="宋体" w:hAnsi="宋体" w:cs="宋体"/>
          <w:kern w:val="0"/>
        </w:rPr>
        <w:fldChar w:fldCharType="begin"/>
      </w:r>
      <w:r>
        <w:rPr>
          <w:rFonts w:ascii="宋体" w:hAnsi="宋体" w:cs="宋体"/>
          <w:kern w:val="0"/>
        </w:rPr>
        <w:instrText xml:space="preserve"> INCLUDEPICTURE "C:\\Users\\Administrator\\AppData\\Roaming\\Tencent\\Users\\21359233\\QQ\\WinTemp\\RichOle\\772~1O4HXZEI_K7XGVEJ3Z7.png" \* MERGEFORMATINET </w:instrText>
      </w:r>
      <w:r>
        <w:rPr>
          <w:rFonts w:ascii="宋体" w:hAnsi="宋体" w:cs="宋体"/>
          <w:kern w:val="0"/>
        </w:rPr>
        <w:fldChar w:fldCharType="separate"/>
      </w:r>
      <w:r>
        <w:rPr>
          <w:rFonts w:hint="eastAsia" w:ascii="宋体" w:hAnsi="宋体" w:cs="宋体"/>
          <w:kern w:val="0"/>
        </w:rPr>
        <w:fldChar w:fldCharType="begin"/>
      </w:r>
      <w:r>
        <w:rPr>
          <w:rFonts w:hint="eastAsia" w:ascii="宋体" w:hAnsi="宋体" w:cs="宋体"/>
          <w:kern w:val="0"/>
        </w:rPr>
        <w:instrText xml:space="preserve"> INCLUDEPICTURE  "C:\\Users\\Administrator\\AppData\\Roaming\\Tencent\\Users\\21359233\\QQ\\WinTemp\\RichOle\\772~1O4HXZEI_K7XGVEJ3Z7.png" \* MERGEFORMATINET </w:instrText>
      </w:r>
      <w:r>
        <w:rPr>
          <w:rFonts w:hint="eastAsia" w:ascii="宋体" w:hAnsi="宋体" w:cs="宋体"/>
          <w:kern w:val="0"/>
        </w:rPr>
        <w:fldChar w:fldCharType="separate"/>
      </w:r>
      <w:r>
        <w:rPr>
          <w:rFonts w:hint="eastAsia" w:ascii="宋体" w:hAnsi="宋体" w:cs="宋体"/>
          <w:kern w:val="0"/>
        </w:rPr>
        <w:fldChar w:fldCharType="begin"/>
      </w:r>
      <w:r>
        <w:rPr>
          <w:rFonts w:hint="eastAsia" w:ascii="宋体" w:hAnsi="宋体" w:cs="宋体"/>
          <w:kern w:val="0"/>
        </w:rPr>
        <w:instrText xml:space="preserve"> INCLUDEPICTURE  "C:\\Users\\Administrator\\AppData\\Roaming\\Tencent\\Users\\21359233\\QQ\\WinTemp\\RichOle\\772~1O4HXZEI_K7XGVEJ3Z7.png" \* MERGEFORMATINET </w:instrText>
      </w:r>
      <w:r>
        <w:rPr>
          <w:rFonts w:hint="eastAsia" w:ascii="宋体" w:hAnsi="宋体" w:cs="宋体"/>
          <w:kern w:val="0"/>
        </w:rPr>
        <w:fldChar w:fldCharType="separate"/>
      </w:r>
      <w:r>
        <w:rPr>
          <w:rFonts w:hint="eastAsia" w:ascii="宋体" w:hAnsi="宋体" w:cs="宋体"/>
          <w:kern w:val="0"/>
        </w:rPr>
        <w:fldChar w:fldCharType="begin"/>
      </w:r>
      <w:r>
        <w:rPr>
          <w:rFonts w:hint="eastAsia" w:ascii="宋体" w:hAnsi="宋体" w:cs="宋体"/>
          <w:kern w:val="0"/>
        </w:rPr>
        <w:instrText xml:space="preserve"> INCLUDEPICTURE  "C:\\Users\\Administrator\\AppData\\Roaming\\Tencent\\Users\\21359233\\QQ\\WinTemp\\RichOle\\772~1O4HXZEI_K7XGVEJ3Z7.png" \* MERGEFORMATINET </w:instrText>
      </w:r>
      <w:r>
        <w:rPr>
          <w:rFonts w:hint="eastAsia" w:ascii="宋体" w:hAnsi="宋体" w:cs="宋体"/>
          <w:kern w:val="0"/>
        </w:rPr>
        <w:fldChar w:fldCharType="separate"/>
      </w:r>
      <w:r>
        <w:rPr>
          <w:rFonts w:ascii="宋体" w:hAnsi="宋体" w:cs="宋体"/>
          <w:kern w:val="0"/>
        </w:rPr>
        <w:pict>
          <v:shape id="_x0000_i1025" o:spt="75" type="#_x0000_t75" style="height:66.75pt;width:152.25pt;" filled="f" o:preferrelative="t" stroked="f" coordsize="21600,21600">
            <v:path/>
            <v:fill on="f" focussize="0,0"/>
            <v:stroke on="f" joinstyle="miter"/>
            <v:imagedata r:id="rId18" r:href="rId19" o:title=""/>
            <o:lock v:ext="edit" aspectratio="t"/>
            <w10:wrap type="none"/>
            <w10:anchorlock/>
          </v:shape>
        </w:pict>
      </w:r>
      <w:r>
        <w:rPr>
          <w:rFonts w:hint="eastAsia" w:ascii="宋体" w:hAnsi="宋体" w:cs="宋体"/>
          <w:kern w:val="0"/>
        </w:rPr>
        <w:fldChar w:fldCharType="end"/>
      </w:r>
      <w:r>
        <w:rPr>
          <w:rFonts w:hint="eastAsia" w:ascii="宋体" w:hAnsi="宋体" w:cs="宋体"/>
          <w:kern w:val="0"/>
        </w:rPr>
        <w:fldChar w:fldCharType="end"/>
      </w:r>
      <w:r>
        <w:rPr>
          <w:rFonts w:hint="eastAsia" w:ascii="宋体" w:hAnsi="宋体" w:cs="宋体"/>
          <w:kern w:val="0"/>
        </w:rPr>
        <w:fldChar w:fldCharType="end"/>
      </w:r>
      <w:r>
        <w:rPr>
          <w:rFonts w:ascii="宋体" w:hAnsi="宋体" w:cs="宋体"/>
          <w:kern w:val="0"/>
        </w:rPr>
        <w:fldChar w:fldCharType="end"/>
      </w:r>
      <w:r>
        <w:rPr>
          <w:rFonts w:hint="eastAsia" w:ascii="宋体" w:hAnsi="宋体" w:cs="宋体"/>
          <w:kern w:val="0"/>
        </w:rPr>
        <w:t xml:space="preserve">    </w:t>
      </w:r>
    </w:p>
    <w:p w14:paraId="2BB55D1C">
      <w:pPr>
        <w:tabs>
          <w:tab w:val="clear" w:pos="4150"/>
          <w:tab w:val="clear" w:pos="10103"/>
        </w:tabs>
        <w:spacing w:before="624" w:beforeLines="200"/>
        <w:ind w:firstLine="0" w:firstLineChars="0"/>
        <w:jc w:val="center"/>
        <w:rPr>
          <w:rFonts w:hint="eastAsia" w:ascii="宋体" w:hAnsi="宋体"/>
          <w:b/>
          <w:spacing w:val="40"/>
          <w:sz w:val="52"/>
          <w:szCs w:val="52"/>
        </w:rPr>
      </w:pPr>
      <w:r>
        <w:rPr>
          <w:rFonts w:hint="eastAsia" w:ascii="宋体" w:hAnsi="宋体"/>
          <w:b/>
          <w:spacing w:val="40"/>
          <w:sz w:val="52"/>
          <w:szCs w:val="52"/>
        </w:rPr>
        <w:t>中华人民共和国国家计量技术规范</w:t>
      </w:r>
    </w:p>
    <w:p w14:paraId="67C1CC9E">
      <w:pPr>
        <w:tabs>
          <w:tab w:val="clear" w:pos="4150"/>
          <w:tab w:val="clear" w:pos="10103"/>
        </w:tabs>
        <w:spacing w:line="240" w:lineRule="auto"/>
        <w:ind w:firstLine="0" w:firstLineChars="0"/>
        <w:jc w:val="center"/>
        <w:rPr>
          <w:rFonts w:eastAsia="方正大标宋简体"/>
        </w:rPr>
      </w:pPr>
    </w:p>
    <w:p w14:paraId="10D3B440">
      <w:pPr>
        <w:keepNext/>
        <w:tabs>
          <w:tab w:val="clear" w:pos="4150"/>
          <w:tab w:val="clear" w:pos="10103"/>
        </w:tabs>
        <w:spacing w:line="420" w:lineRule="exact"/>
        <w:ind w:firstLine="4760" w:firstLineChars="1700"/>
        <w:outlineLvl w:val="1"/>
        <w:rPr>
          <w:rFonts w:hint="eastAsia" w:ascii="黑体" w:hAnsi="黑体" w:eastAsia="黑体"/>
          <w:kern w:val="0"/>
          <w:sz w:val="28"/>
          <w:szCs w:val="20"/>
        </w:rPr>
      </w:pPr>
      <w:bookmarkStart w:id="2" w:name="_Toc514316609"/>
      <w:r>
        <w:rPr>
          <w:rFonts w:hint="eastAsia"/>
          <w:kern w:val="0"/>
          <w:sz w:val="28"/>
          <w:szCs w:val="20"/>
        </w:rPr>
        <w:t xml:space="preserve">        </w:t>
      </w:r>
      <w:r>
        <w:rPr>
          <w:rFonts w:hint="eastAsia" w:ascii="黑体" w:hAnsi="黑体" w:eastAsia="黑体"/>
          <w:kern w:val="0"/>
          <w:sz w:val="28"/>
          <w:szCs w:val="20"/>
        </w:rPr>
        <w:t xml:space="preserve"> </w:t>
      </w:r>
      <w:bookmarkStart w:id="3" w:name="_Toc101281453"/>
      <w:bookmarkStart w:id="4" w:name="_Toc101442443"/>
      <w:bookmarkStart w:id="5" w:name="_Toc529806650"/>
      <w:bookmarkStart w:id="6" w:name="_Toc54707736"/>
      <w:r>
        <w:rPr>
          <w:rFonts w:hint="eastAsia" w:ascii="黑体" w:hAnsi="黑体" w:eastAsia="黑体"/>
          <w:kern w:val="0"/>
          <w:sz w:val="28"/>
          <w:szCs w:val="20"/>
        </w:rPr>
        <w:t>JJF XXXX-XXXX</w:t>
      </w:r>
      <w:bookmarkEnd w:id="2"/>
      <w:bookmarkEnd w:id="3"/>
      <w:bookmarkEnd w:id="4"/>
      <w:bookmarkEnd w:id="5"/>
      <w:bookmarkEnd w:id="6"/>
    </w:p>
    <w:p w14:paraId="24B6AF7A">
      <w:pPr>
        <w:tabs>
          <w:tab w:val="clear" w:pos="4150"/>
          <w:tab w:val="clear" w:pos="10103"/>
        </w:tabs>
        <w:spacing w:line="240" w:lineRule="auto"/>
        <w:ind w:firstLine="0" w:firstLineChars="0"/>
        <w:rPr>
          <w:rFonts w:eastAsia="方正大标宋简体"/>
        </w:rPr>
      </w:pPr>
    </w:p>
    <w:p w14:paraId="0F76A5F4">
      <w:pPr>
        <w:tabs>
          <w:tab w:val="clear" w:pos="4150"/>
          <w:tab w:val="clear" w:pos="10103"/>
        </w:tabs>
        <w:spacing w:line="240" w:lineRule="auto"/>
        <w:ind w:firstLine="0" w:firstLineChars="0"/>
        <w:rPr>
          <w:rFonts w:eastAsia="方正大标宋简体"/>
        </w:rPr>
      </w:pPr>
      <w:r>
        <w:rPr>
          <w:sz w:val="20"/>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0</wp:posOffset>
                </wp:positionV>
                <wp:extent cx="6221730" cy="0"/>
                <wp:effectExtent l="9525" t="9525" r="17145" b="9525"/>
                <wp:wrapNone/>
                <wp:docPr id="1189218911"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6221730" cy="0"/>
                        </a:xfrm>
                        <a:prstGeom prst="line">
                          <a:avLst/>
                        </a:prstGeom>
                        <a:noFill/>
                        <a:ln w="19050" cmpd="sng">
                          <a:solidFill>
                            <a:srgbClr val="000000"/>
                          </a:solidFill>
                          <a:round/>
                        </a:ln>
                      </wps:spPr>
                      <wps:bodyPr/>
                    </wps:wsp>
                  </a:graphicData>
                </a:graphic>
              </wp:anchor>
            </w:drawing>
          </mc:Choice>
          <mc:Fallback>
            <w:pict>
              <v:line id="直接连接符 10" o:spid="_x0000_s1026" o:spt="20" style="position:absolute;left:0pt;margin-left:-18pt;margin-top:0pt;height:0pt;width:489.9pt;z-index:251659264;mso-width-relative:page;mso-height-relative:page;" filled="f" stroked="t" coordsize="21600,21600" o:gfxdata="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MyTLq9QAAAAFAQAADwAAAAAAAAABACAAAAAiAAAAZHJzL2Rvd25yZXYueG1sUEsBAhQAFAAA&#10;AAgAh07iQFM3yUTzAQAAwAMAAA4AAAAAAAAAAQAgAAAAIwEAAGRycy9lMm9Eb2MueG1sUEsFBgAA&#10;AAAGAAYAWQEAAIgFAAAAAA==&#10;">
                <v:fill on="f" focussize="0,0"/>
                <v:stroke weight="1.5pt" color="#000000" joinstyle="round"/>
                <v:imagedata o:title=""/>
                <o:lock v:ext="edit" aspectratio="f"/>
              </v:line>
            </w:pict>
          </mc:Fallback>
        </mc:AlternateContent>
      </w:r>
    </w:p>
    <w:p w14:paraId="55C931D2">
      <w:pPr>
        <w:tabs>
          <w:tab w:val="clear" w:pos="4150"/>
          <w:tab w:val="clear" w:pos="10103"/>
        </w:tabs>
        <w:spacing w:line="240" w:lineRule="auto"/>
        <w:ind w:firstLine="0" w:firstLineChars="0"/>
        <w:rPr>
          <w:color w:val="000000"/>
          <w:szCs w:val="24"/>
        </w:rPr>
      </w:pPr>
    </w:p>
    <w:p w14:paraId="22891743">
      <w:pPr>
        <w:tabs>
          <w:tab w:val="clear" w:pos="4150"/>
          <w:tab w:val="clear" w:pos="10103"/>
        </w:tabs>
        <w:spacing w:line="240" w:lineRule="auto"/>
        <w:ind w:firstLine="0" w:firstLineChars="0"/>
        <w:rPr>
          <w:color w:val="000000"/>
          <w:szCs w:val="24"/>
        </w:rPr>
      </w:pPr>
    </w:p>
    <w:p w14:paraId="004E343E">
      <w:pPr>
        <w:tabs>
          <w:tab w:val="clear" w:pos="4150"/>
          <w:tab w:val="clear" w:pos="10103"/>
        </w:tabs>
        <w:spacing w:line="240" w:lineRule="auto"/>
        <w:ind w:firstLine="0" w:firstLineChars="0"/>
        <w:rPr>
          <w:color w:val="000000"/>
          <w:szCs w:val="24"/>
        </w:rPr>
      </w:pPr>
    </w:p>
    <w:p w14:paraId="5336EC43">
      <w:pPr>
        <w:tabs>
          <w:tab w:val="clear" w:pos="4150"/>
          <w:tab w:val="clear" w:pos="10103"/>
        </w:tabs>
        <w:spacing w:line="240" w:lineRule="auto"/>
        <w:ind w:firstLine="0" w:firstLineChars="0"/>
        <w:rPr>
          <w:color w:val="000000"/>
          <w:szCs w:val="24"/>
        </w:rPr>
      </w:pPr>
    </w:p>
    <w:p w14:paraId="7D12B9F4">
      <w:pPr>
        <w:tabs>
          <w:tab w:val="clear" w:pos="4150"/>
          <w:tab w:val="clear" w:pos="10103"/>
        </w:tabs>
        <w:spacing w:line="240" w:lineRule="auto"/>
        <w:ind w:firstLine="0" w:firstLineChars="0"/>
        <w:jc w:val="center"/>
        <w:rPr>
          <w:rFonts w:ascii="黑体" w:eastAsia="黑体"/>
          <w:color w:val="000000"/>
          <w:sz w:val="52"/>
          <w:szCs w:val="52"/>
        </w:rPr>
      </w:pPr>
      <w:r>
        <w:rPr>
          <w:rFonts w:hint="eastAsia" w:eastAsia="黑体" w:cs="黑体"/>
          <w:sz w:val="52"/>
          <w:szCs w:val="52"/>
        </w:rPr>
        <w:t>紫外光学法微纳线宽栅格校准规范</w:t>
      </w:r>
    </w:p>
    <w:p w14:paraId="25F93D00">
      <w:pPr>
        <w:tabs>
          <w:tab w:val="clear" w:pos="4150"/>
          <w:tab w:val="clear" w:pos="10103"/>
        </w:tabs>
        <w:adjustRightInd w:val="0"/>
        <w:snapToGrid w:val="0"/>
        <w:ind w:firstLine="0" w:firstLineChars="0"/>
        <w:jc w:val="center"/>
        <w:rPr>
          <w:rFonts w:hint="eastAsia" w:ascii="黑体" w:hAnsi="黑体" w:eastAsia="黑体"/>
          <w:b/>
          <w:bCs/>
          <w:sz w:val="28"/>
          <w:szCs w:val="28"/>
        </w:rPr>
      </w:pPr>
      <w:r>
        <w:rPr>
          <w:rFonts w:ascii="黑体" w:hAnsi="黑体" w:eastAsia="黑体"/>
          <w:b/>
          <w:bCs/>
          <w:sz w:val="28"/>
          <w:szCs w:val="28"/>
        </w:rPr>
        <w:t>Calibration Specification for</w:t>
      </w:r>
      <w:r>
        <w:rPr>
          <w:rFonts w:hint="eastAsia" w:ascii="黑体" w:hAnsi="黑体" w:eastAsia="黑体"/>
          <w:b/>
          <w:bCs/>
          <w:sz w:val="28"/>
          <w:szCs w:val="28"/>
        </w:rPr>
        <w:t xml:space="preserve"> </w:t>
      </w:r>
      <w:r>
        <w:rPr>
          <w:rFonts w:ascii="黑体" w:hAnsi="黑体" w:eastAsia="黑体"/>
          <w:b/>
          <w:bCs/>
          <w:sz w:val="28"/>
          <w:szCs w:val="28"/>
        </w:rPr>
        <w:t xml:space="preserve">micro-nano linewidth gratings by </w:t>
      </w:r>
      <w:r>
        <w:rPr>
          <w:rFonts w:hint="eastAsia" w:ascii="黑体" w:hAnsi="黑体" w:eastAsia="黑体"/>
          <w:b/>
          <w:bCs/>
          <w:sz w:val="28"/>
          <w:szCs w:val="28"/>
        </w:rPr>
        <w:t>UV optical Method</w:t>
      </w:r>
    </w:p>
    <w:p w14:paraId="65A5F7E6">
      <w:pPr>
        <w:tabs>
          <w:tab w:val="clear" w:pos="4150"/>
          <w:tab w:val="clear" w:pos="10103"/>
        </w:tabs>
        <w:spacing w:line="240" w:lineRule="auto"/>
        <w:ind w:firstLine="0" w:firstLineChars="0"/>
        <w:jc w:val="center"/>
        <w:rPr>
          <w:rFonts w:ascii="黑体" w:eastAsia="黑体"/>
          <w:color w:val="000000"/>
          <w:sz w:val="28"/>
          <w:szCs w:val="28"/>
        </w:rPr>
      </w:pPr>
      <w:r>
        <w:rPr>
          <w:rFonts w:hint="eastAsia" w:ascii="黑体" w:eastAsia="黑体"/>
          <w:color w:val="000000"/>
          <w:sz w:val="28"/>
          <w:szCs w:val="28"/>
        </w:rPr>
        <w:t>（</w:t>
      </w:r>
      <w:r>
        <w:rPr>
          <w:rFonts w:hint="eastAsia" w:ascii="黑体" w:eastAsia="黑体"/>
          <w:color w:val="000000"/>
          <w:sz w:val="28"/>
          <w:szCs w:val="28"/>
          <w:lang w:val="en-US" w:eastAsia="zh-CN"/>
        </w:rPr>
        <w:t>征求意见稿</w:t>
      </w:r>
      <w:bookmarkStart w:id="69" w:name="_GoBack"/>
      <w:bookmarkEnd w:id="69"/>
      <w:r>
        <w:rPr>
          <w:rFonts w:hint="eastAsia" w:ascii="黑体" w:eastAsia="黑体"/>
          <w:color w:val="000000"/>
          <w:sz w:val="28"/>
          <w:szCs w:val="28"/>
        </w:rPr>
        <w:t>）</w:t>
      </w:r>
    </w:p>
    <w:p w14:paraId="2B2416A9">
      <w:pPr>
        <w:tabs>
          <w:tab w:val="clear" w:pos="4150"/>
          <w:tab w:val="clear" w:pos="10103"/>
        </w:tabs>
        <w:spacing w:line="240" w:lineRule="auto"/>
        <w:ind w:firstLine="0" w:firstLineChars="0"/>
        <w:rPr>
          <w:color w:val="000000"/>
          <w:szCs w:val="24"/>
        </w:rPr>
      </w:pPr>
    </w:p>
    <w:p w14:paraId="22861EA6">
      <w:pPr>
        <w:tabs>
          <w:tab w:val="clear" w:pos="4150"/>
          <w:tab w:val="clear" w:pos="10103"/>
        </w:tabs>
        <w:spacing w:line="240" w:lineRule="auto"/>
        <w:ind w:firstLine="0" w:firstLineChars="0"/>
        <w:rPr>
          <w:color w:val="000000"/>
          <w:szCs w:val="24"/>
        </w:rPr>
      </w:pPr>
    </w:p>
    <w:p w14:paraId="5AED9C5D">
      <w:pPr>
        <w:tabs>
          <w:tab w:val="clear" w:pos="4150"/>
          <w:tab w:val="clear" w:pos="10103"/>
        </w:tabs>
        <w:spacing w:line="240" w:lineRule="auto"/>
        <w:ind w:firstLine="0" w:firstLineChars="0"/>
        <w:rPr>
          <w:color w:val="000000"/>
          <w:szCs w:val="24"/>
        </w:rPr>
      </w:pPr>
    </w:p>
    <w:p w14:paraId="0EA64D5B">
      <w:pPr>
        <w:tabs>
          <w:tab w:val="clear" w:pos="4150"/>
          <w:tab w:val="clear" w:pos="10103"/>
        </w:tabs>
        <w:spacing w:line="240" w:lineRule="auto"/>
        <w:ind w:firstLine="0" w:firstLineChars="0"/>
        <w:rPr>
          <w:color w:val="000000"/>
          <w:szCs w:val="24"/>
        </w:rPr>
      </w:pPr>
    </w:p>
    <w:p w14:paraId="1CF251B6">
      <w:pPr>
        <w:tabs>
          <w:tab w:val="clear" w:pos="4150"/>
          <w:tab w:val="clear" w:pos="10103"/>
        </w:tabs>
        <w:spacing w:line="240" w:lineRule="auto"/>
        <w:ind w:firstLine="0" w:firstLineChars="0"/>
        <w:rPr>
          <w:color w:val="000000"/>
          <w:szCs w:val="24"/>
        </w:rPr>
      </w:pPr>
    </w:p>
    <w:p w14:paraId="173568B2">
      <w:pPr>
        <w:tabs>
          <w:tab w:val="clear" w:pos="4150"/>
          <w:tab w:val="clear" w:pos="10103"/>
        </w:tabs>
        <w:spacing w:line="240" w:lineRule="auto"/>
        <w:ind w:firstLine="0" w:firstLineChars="0"/>
        <w:rPr>
          <w:color w:val="000000"/>
          <w:szCs w:val="24"/>
        </w:rPr>
      </w:pPr>
    </w:p>
    <w:p w14:paraId="76FE2344">
      <w:pPr>
        <w:tabs>
          <w:tab w:val="clear" w:pos="4150"/>
          <w:tab w:val="clear" w:pos="10103"/>
        </w:tabs>
        <w:spacing w:line="240" w:lineRule="auto"/>
        <w:ind w:firstLine="0" w:firstLineChars="0"/>
        <w:rPr>
          <w:color w:val="000000"/>
          <w:szCs w:val="24"/>
        </w:rPr>
      </w:pPr>
    </w:p>
    <w:p w14:paraId="799AF03E">
      <w:pPr>
        <w:tabs>
          <w:tab w:val="clear" w:pos="4150"/>
          <w:tab w:val="clear" w:pos="10103"/>
        </w:tabs>
        <w:spacing w:line="240" w:lineRule="auto"/>
        <w:ind w:firstLine="0" w:firstLineChars="0"/>
        <w:rPr>
          <w:color w:val="000000"/>
          <w:szCs w:val="24"/>
        </w:rPr>
      </w:pPr>
    </w:p>
    <w:p w14:paraId="27887884">
      <w:pPr>
        <w:tabs>
          <w:tab w:val="clear" w:pos="4150"/>
          <w:tab w:val="clear" w:pos="10103"/>
        </w:tabs>
        <w:spacing w:line="240" w:lineRule="auto"/>
        <w:ind w:firstLine="0" w:firstLineChars="0"/>
        <w:rPr>
          <w:color w:val="000000"/>
          <w:szCs w:val="24"/>
        </w:rPr>
      </w:pPr>
    </w:p>
    <w:p w14:paraId="0E9BE729">
      <w:pPr>
        <w:tabs>
          <w:tab w:val="clear" w:pos="4150"/>
          <w:tab w:val="clear" w:pos="10103"/>
        </w:tabs>
        <w:spacing w:line="240" w:lineRule="auto"/>
        <w:ind w:firstLine="0" w:firstLineChars="0"/>
        <w:rPr>
          <w:color w:val="000000"/>
          <w:szCs w:val="24"/>
        </w:rPr>
      </w:pPr>
    </w:p>
    <w:p w14:paraId="0DFFC253">
      <w:pPr>
        <w:tabs>
          <w:tab w:val="clear" w:pos="4150"/>
          <w:tab w:val="clear" w:pos="10103"/>
        </w:tabs>
        <w:spacing w:line="240" w:lineRule="auto"/>
        <w:ind w:firstLine="0" w:firstLineChars="0"/>
        <w:rPr>
          <w:color w:val="000000"/>
          <w:szCs w:val="24"/>
        </w:rPr>
      </w:pPr>
    </w:p>
    <w:p w14:paraId="27CEA6FF">
      <w:pPr>
        <w:tabs>
          <w:tab w:val="clear" w:pos="4150"/>
          <w:tab w:val="clear" w:pos="10103"/>
        </w:tabs>
        <w:spacing w:line="240" w:lineRule="auto"/>
        <w:ind w:firstLine="0" w:firstLineChars="0"/>
        <w:rPr>
          <w:color w:val="000000"/>
          <w:szCs w:val="24"/>
        </w:rPr>
      </w:pPr>
    </w:p>
    <w:p w14:paraId="3DE94AFF">
      <w:pPr>
        <w:tabs>
          <w:tab w:val="clear" w:pos="4150"/>
          <w:tab w:val="clear" w:pos="10103"/>
        </w:tabs>
        <w:spacing w:after="156" w:afterLines="50" w:line="240" w:lineRule="auto"/>
        <w:ind w:firstLine="0" w:firstLineChars="0"/>
        <w:rPr>
          <w:rFonts w:ascii="黑体" w:eastAsia="黑体"/>
          <w:b/>
          <w:bCs/>
          <w:sz w:val="28"/>
        </w:rPr>
      </w:pPr>
      <w:r>
        <w:rPr>
          <w:rFonts w:hint="eastAsia" w:ascii="黑体" w:eastAsia="黑体"/>
          <w:b/>
          <w:bCs/>
          <w:sz w:val="28"/>
        </w:rPr>
        <w:t>XXXX-XX-XX发布</w:t>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 xml:space="preserve">  XXXX-XX-XX实施</w:t>
      </w:r>
      <w:r>
        <w:rPr>
          <w:rFonts w:ascii="黑体" w:eastAsia="黑体"/>
          <w:b/>
          <w:bCs/>
          <w:sz w:val="28"/>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453390</wp:posOffset>
                </wp:positionV>
                <wp:extent cx="6221730" cy="0"/>
                <wp:effectExtent l="9525" t="15240" r="17145" b="13335"/>
                <wp:wrapNone/>
                <wp:docPr id="1000443976"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6221730" cy="0"/>
                        </a:xfrm>
                        <a:prstGeom prst="line">
                          <a:avLst/>
                        </a:prstGeom>
                        <a:noFill/>
                        <a:ln w="19050" cmpd="sng">
                          <a:solidFill>
                            <a:srgbClr val="000000"/>
                          </a:solidFill>
                          <a:round/>
                        </a:ln>
                      </wps:spPr>
                      <wps:bodyPr/>
                    </wps:wsp>
                  </a:graphicData>
                </a:graphic>
              </wp:anchor>
            </w:drawing>
          </mc:Choice>
          <mc:Fallback>
            <w:pict>
              <v:line id="直接连接符 9" o:spid="_x0000_s1026" o:spt="20" style="position:absolute;left:0pt;margin-left:-18pt;margin-top:35.7pt;height:0pt;width:489.9pt;z-index:251660288;mso-width-relative:page;mso-height-relative:page;" filled="f" stroked="t" coordsize="21600,21600" o:gfxdata="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yha1F1gAAAAkBAAAPAAAAAAAAAAEAIAAAACIAAABkcnMvZG93bnJldi54bWxQSwECFAAU&#10;AAAACACHTuJAP5mYDPMBAAC/AwAADgAAAAAAAAABACAAAAAlAQAAZHJzL2Uyb0RvYy54bWxQSwUG&#10;AAAAAAYABgBZAQAAigUAAAAA&#10;">
                <v:fill on="f" focussize="0,0"/>
                <v:stroke weight="1.5pt" color="#000000" joinstyle="round"/>
                <v:imagedata o:title=""/>
                <o:lock v:ext="edit" aspectratio="f"/>
              </v:line>
            </w:pict>
          </mc:Fallback>
        </mc:AlternateContent>
      </w:r>
    </w:p>
    <w:p w14:paraId="06219C98">
      <w:pPr>
        <w:tabs>
          <w:tab w:val="clear" w:pos="4150"/>
          <w:tab w:val="clear" w:pos="10103"/>
        </w:tabs>
        <w:spacing w:line="240" w:lineRule="auto"/>
        <w:ind w:firstLine="0" w:firstLineChars="0"/>
        <w:jc w:val="center"/>
        <w:sectPr>
          <w:headerReference r:id="rId7" w:type="first"/>
          <w:footerReference r:id="rId10" w:type="first"/>
          <w:headerReference r:id="rId5" w:type="default"/>
          <w:footerReference r:id="rId8" w:type="default"/>
          <w:headerReference r:id="rId6" w:type="even"/>
          <w:footerReference r:id="rId9" w:type="even"/>
          <w:footnotePr>
            <w:numFmt w:val="decimalFullWidth"/>
            <w:numRestart w:val="eachPage"/>
          </w:footnotePr>
          <w:pgSz w:w="11906" w:h="16838"/>
          <w:pgMar w:top="1588" w:right="1418" w:bottom="1418" w:left="1418" w:header="851" w:footer="992" w:gutter="0"/>
          <w:cols w:space="720" w:num="1"/>
          <w:docGrid w:type="lines" w:linePitch="312" w:charSpace="0"/>
        </w:sectPr>
      </w:pPr>
      <w:r>
        <w:rPr>
          <w:rFonts w:hint="eastAsia" w:ascii="宋体" w:hAnsi="宋体"/>
          <w:b/>
          <w:spacing w:val="60"/>
          <w:sz w:val="44"/>
          <w:szCs w:val="44"/>
        </w:rPr>
        <w:t>国家市场监督管理总局</w:t>
      </w:r>
      <w:r>
        <w:rPr>
          <w:rFonts w:hint="eastAsia" w:ascii="黑体" w:eastAsia="黑体"/>
          <w:bCs/>
          <w:sz w:val="28"/>
        </w:rPr>
        <w:t xml:space="preserve">发 </w:t>
      </w:r>
    </w:p>
    <w:p w14:paraId="43B6C0E1">
      <w:pPr>
        <w:tabs>
          <w:tab w:val="left" w:pos="6079"/>
          <w:tab w:val="clear" w:pos="4150"/>
          <w:tab w:val="clear" w:pos="10103"/>
        </w:tabs>
        <w:spacing w:line="700" w:lineRule="exact"/>
        <w:ind w:firstLine="0" w:firstLineChars="0"/>
        <w:rPr>
          <w:rFonts w:hint="eastAsia" w:ascii="黑体" w:hAnsi="黑体" w:eastAsia="黑体"/>
          <w:b/>
          <w:spacing w:val="20"/>
          <w:sz w:val="44"/>
          <w:szCs w:val="44"/>
        </w:rPr>
      </w:pPr>
      <w:bookmarkStart w:id="7" w:name="_Toc165017530"/>
      <w:bookmarkStart w:id="8" w:name="_Toc177550244"/>
      <w:bookmarkStart w:id="9" w:name="_Toc101281454"/>
      <w:bookmarkStart w:id="10" w:name="_Toc101442444"/>
      <w:bookmarkStart w:id="11" w:name="_Toc89184070"/>
    </w:p>
    <w:p w14:paraId="1BAF0D2B">
      <w:pPr>
        <w:tabs>
          <w:tab w:val="left" w:pos="6079"/>
          <w:tab w:val="clear" w:pos="4150"/>
          <w:tab w:val="clear" w:pos="10103"/>
        </w:tabs>
        <w:spacing w:line="700" w:lineRule="exact"/>
        <w:ind w:firstLine="482" w:firstLineChars="100"/>
        <w:rPr>
          <w:rFonts w:hint="eastAsia" w:ascii="黑体" w:hAnsi="黑体" w:eastAsia="黑体"/>
          <w:b/>
          <w:spacing w:val="20"/>
          <w:sz w:val="44"/>
          <w:szCs w:val="44"/>
        </w:rPr>
      </w:pPr>
      <w:r>
        <w:rPr>
          <w:rFonts w:ascii="黑体" w:hAnsi="黑体" w:eastAsia="黑体"/>
          <w:b/>
          <w:spacing w:val="20"/>
          <w:sz w:val="44"/>
          <w:szCs w:val="44"/>
        </w:rPr>
        <mc:AlternateContent>
          <mc:Choice Requires="wps">
            <w:drawing>
              <wp:anchor distT="45720" distB="45720" distL="114300" distR="114300" simplePos="0" relativeHeight="251663360" behindDoc="0" locked="0" layoutInCell="1" allowOverlap="1">
                <wp:simplePos x="0" y="0"/>
                <wp:positionH relativeFrom="margin">
                  <wp:posOffset>3856355</wp:posOffset>
                </wp:positionH>
                <wp:positionV relativeFrom="paragraph">
                  <wp:posOffset>31115</wp:posOffset>
                </wp:positionV>
                <wp:extent cx="1660525" cy="526415"/>
                <wp:effectExtent l="0" t="0" r="0" b="6985"/>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660525" cy="526415"/>
                        </a:xfrm>
                        <a:prstGeom prst="rect">
                          <a:avLst/>
                        </a:prstGeom>
                        <a:solidFill>
                          <a:srgbClr val="FFFFFF"/>
                        </a:solidFill>
                        <a:ln w="9525">
                          <a:noFill/>
                          <a:miter lim="800000"/>
                        </a:ln>
                      </wps:spPr>
                      <wps:txbx>
                        <w:txbxContent>
                          <w:p w14:paraId="49BFF30B">
                            <w:pPr>
                              <w:ind w:firstLine="0" w:firstLineChars="0"/>
                              <w:jc w:val="left"/>
                            </w:pPr>
                            <w:r>
                              <w:rPr>
                                <w:rFonts w:hint="eastAsia" w:ascii="黑体" w:hAnsi="黑体" w:eastAsia="黑体"/>
                                <w:spacing w:val="20"/>
                                <w:sz w:val="28"/>
                                <w:szCs w:val="28"/>
                              </w:rPr>
                              <w:t>JJFXXXX-XXXX</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303.65pt;margin-top:2.45pt;height:41.45pt;width:130.75pt;mso-position-horizontal-relative:margin;mso-wrap-distance-bottom:3.6pt;mso-wrap-distance-left:9pt;mso-wrap-distance-right:9pt;mso-wrap-distance-top:3.6pt;z-index:251663360;mso-width-relative:page;mso-height-relative:page;" fillcolor="#FFFFFF" filled="t" stroked="f" coordsize="21600,21600" o:gfxdata="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3uJJcdYAAAAIAQAADwAAAAAAAAABACAAAAAiAAAAZHJzL2Rvd25y&#10;ZXYueG1sUEsBAhQAFAAAAAgAh07iQD9UaQM5AgAAVAQAAA4AAAAAAAAAAQAgAAAAJQEAAGRycy9l&#10;Mm9Eb2MueG1sUEsFBgAAAAAGAAYAWQEAANAFAAAAAA==&#10;">
                <v:fill on="t" focussize="0,0"/>
                <v:stroke on="f" miterlimit="8" joinstyle="miter"/>
                <v:imagedata o:title=""/>
                <o:lock v:ext="edit" aspectratio="f"/>
                <v:textbox>
                  <w:txbxContent>
                    <w:p w14:paraId="49BFF30B">
                      <w:pPr>
                        <w:ind w:firstLine="0" w:firstLineChars="0"/>
                        <w:jc w:val="left"/>
                      </w:pPr>
                      <w:r>
                        <w:rPr>
                          <w:rFonts w:hint="eastAsia" w:ascii="黑体" w:hAnsi="黑体" w:eastAsia="黑体"/>
                          <w:spacing w:val="20"/>
                          <w:sz w:val="28"/>
                          <w:szCs w:val="28"/>
                        </w:rPr>
                        <w:t>JJFXXXX-XXXX</w:t>
                      </w:r>
                    </w:p>
                  </w:txbxContent>
                </v:textbox>
                <w10:wrap type="square"/>
              </v:shape>
            </w:pict>
          </mc:Fallback>
        </mc:AlternateContent>
      </w:r>
      <w:r>
        <w:rPr>
          <w:rFonts w:hint="eastAsia" w:ascii="黑体" w:hAnsi="黑体" w:eastAsia="黑体"/>
          <w:b/>
          <w:spacing w:val="20"/>
          <w:sz w:val="44"/>
          <w:szCs w:val="44"/>
        </w:rPr>
        <w:t>紫外光学法</w:t>
      </w:r>
    </w:p>
    <w:p w14:paraId="58C6CE90">
      <w:pPr>
        <w:tabs>
          <w:tab w:val="left" w:pos="6079"/>
          <w:tab w:val="clear" w:pos="4150"/>
          <w:tab w:val="clear" w:pos="10103"/>
        </w:tabs>
        <w:spacing w:line="700" w:lineRule="exact"/>
        <w:ind w:firstLine="482" w:firstLineChars="100"/>
        <w:rPr>
          <w:rFonts w:hint="eastAsia" w:ascii="黑体" w:hAnsi="黑体" w:eastAsia="黑体"/>
          <w:b/>
          <w:spacing w:val="20"/>
          <w:sz w:val="44"/>
          <w:szCs w:val="44"/>
        </w:rPr>
      </w:pPr>
      <w:r>
        <w:rPr>
          <w:rFonts w:hint="eastAsia" w:ascii="黑体" w:hAnsi="黑体" w:eastAsia="黑体"/>
          <w:b/>
          <w:spacing w:val="20"/>
          <w:sz w:val="44"/>
          <w:szCs w:val="44"/>
        </w:rPr>
        <w:t>微纳线宽栅格</w:t>
      </w:r>
    </w:p>
    <w:p w14:paraId="55125BD7">
      <w:pPr>
        <w:tabs>
          <w:tab w:val="left" w:pos="6079"/>
          <w:tab w:val="clear" w:pos="4150"/>
          <w:tab w:val="clear" w:pos="10103"/>
        </w:tabs>
        <w:spacing w:line="700" w:lineRule="exact"/>
        <w:ind w:firstLine="482" w:firstLineChars="100"/>
        <w:rPr>
          <w:rFonts w:hint="eastAsia" w:ascii="黑体" w:hAnsi="黑体" w:eastAsia="黑体"/>
          <w:b/>
          <w:spacing w:val="20"/>
          <w:sz w:val="44"/>
          <w:szCs w:val="44"/>
        </w:rPr>
      </w:pPr>
      <w:r>
        <w:rPr>
          <w:rFonts w:hint="eastAsia" w:ascii="黑体" w:hAnsi="黑体" w:eastAsia="黑体"/>
          <w:b/>
          <w:spacing w:val="20"/>
          <w:sz w:val="44"/>
          <w:szCs w:val="44"/>
        </w:rPr>
        <w:t>校准规范</w:t>
      </w:r>
      <w:r>
        <w:rPr>
          <w:sz w:val="21"/>
        </w:rPr>
        <w:drawing>
          <wp:anchor distT="0" distB="0" distL="114300" distR="114300" simplePos="0" relativeHeight="251661312" behindDoc="1" locked="1" layoutInCell="1" allowOverlap="1">
            <wp:simplePos x="0" y="0"/>
            <wp:positionH relativeFrom="page">
              <wp:posOffset>4693285</wp:posOffset>
            </wp:positionH>
            <wp:positionV relativeFrom="page">
              <wp:posOffset>1158240</wp:posOffset>
            </wp:positionV>
            <wp:extent cx="1963420" cy="790575"/>
            <wp:effectExtent l="0" t="0" r="0" b="9525"/>
            <wp:wrapNone/>
            <wp:docPr id="76914655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146551" name="图片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963420" cy="790575"/>
                    </a:xfrm>
                    <a:prstGeom prst="rect">
                      <a:avLst/>
                    </a:prstGeom>
                    <a:noFill/>
                    <a:ln>
                      <a:noFill/>
                    </a:ln>
                  </pic:spPr>
                </pic:pic>
              </a:graphicData>
            </a:graphic>
          </wp:anchor>
        </w:drawing>
      </w:r>
      <w:r>
        <w:rPr>
          <w:rFonts w:hint="eastAsia" w:ascii="黑体" w:hAnsi="黑体" w:eastAsia="黑体"/>
          <w:b/>
          <w:spacing w:val="20"/>
          <w:sz w:val="44"/>
          <w:szCs w:val="44"/>
        </w:rPr>
        <w:t xml:space="preserve">       </w:t>
      </w:r>
    </w:p>
    <w:p w14:paraId="3F8DCAF4">
      <w:pPr>
        <w:tabs>
          <w:tab w:val="clear" w:pos="4150"/>
          <w:tab w:val="clear" w:pos="10103"/>
        </w:tabs>
        <w:spacing w:line="700" w:lineRule="exact"/>
        <w:ind w:firstLine="0" w:firstLineChars="0"/>
        <w:rPr>
          <w:rFonts w:hint="eastAsia" w:ascii="黑体" w:hAnsi="黑体" w:eastAsia="黑体"/>
          <w:b/>
          <w:bCs/>
          <w:sz w:val="28"/>
          <w:szCs w:val="28"/>
        </w:rPr>
      </w:pPr>
      <w:r>
        <w:rPr>
          <w:rFonts w:hint="eastAsia" w:ascii="黑体" w:hAnsi="黑体" w:eastAsia="黑体"/>
          <w:b/>
          <w:bCs/>
          <w:sz w:val="28"/>
          <w:szCs w:val="28"/>
        </w:rPr>
        <w:t>Calibration Specification</w:t>
      </w:r>
      <w:r>
        <w:rPr>
          <w:rFonts w:ascii="黑体" w:hAnsi="黑体" w:eastAsia="黑体"/>
          <w:b/>
          <w:bCs/>
          <w:sz w:val="28"/>
          <w:szCs w:val="28"/>
        </w:rPr>
        <w:t xml:space="preserve"> </w:t>
      </w:r>
      <w:r>
        <w:rPr>
          <w:rFonts w:hint="eastAsia" w:ascii="黑体" w:hAnsi="黑体" w:eastAsia="黑体"/>
          <w:b/>
          <w:bCs/>
          <w:sz w:val="28"/>
          <w:szCs w:val="28"/>
        </w:rPr>
        <w:t xml:space="preserve">for </w:t>
      </w:r>
    </w:p>
    <w:p w14:paraId="1D10732D">
      <w:pPr>
        <w:tabs>
          <w:tab w:val="clear" w:pos="4150"/>
          <w:tab w:val="clear" w:pos="10103"/>
        </w:tabs>
        <w:spacing w:line="700" w:lineRule="exact"/>
        <w:ind w:firstLine="0" w:firstLineChars="0"/>
        <w:rPr>
          <w:rFonts w:hint="eastAsia" w:ascii="黑体" w:hAnsi="黑体" w:eastAsia="黑体"/>
          <w:b/>
          <w:bCs/>
          <w:sz w:val="28"/>
          <w:szCs w:val="28"/>
        </w:rPr>
      </w:pPr>
      <w:r>
        <w:rPr>
          <w:rFonts w:ascii="黑体" w:hAnsi="黑体" w:eastAsia="黑体"/>
          <w:b/>
          <w:bCs/>
          <w:sz w:val="28"/>
          <w:szCs w:val="28"/>
        </w:rPr>
        <w:t xml:space="preserve">micro-nano linewidth gratings </w:t>
      </w:r>
    </w:p>
    <w:p w14:paraId="6C8B8918">
      <w:pPr>
        <w:tabs>
          <w:tab w:val="clear" w:pos="4150"/>
          <w:tab w:val="clear" w:pos="10103"/>
        </w:tabs>
        <w:spacing w:line="700" w:lineRule="exact"/>
        <w:ind w:firstLine="0" w:firstLineChars="0"/>
        <w:rPr>
          <w:rFonts w:hint="eastAsia" w:ascii="黑体" w:hAnsi="黑体" w:eastAsia="黑体"/>
          <w:b/>
          <w:bCs/>
          <w:sz w:val="28"/>
          <w:szCs w:val="28"/>
        </w:rPr>
      </w:pPr>
      <w:r>
        <w:rPr>
          <w:rFonts w:ascii="黑体" w:hAnsi="黑体" w:eastAsia="黑体"/>
          <w:b/>
          <w:bCs/>
          <w:sz w:val="28"/>
          <w:szCs w:val="28"/>
        </w:rPr>
        <w:t>by UV optical Method</w:t>
      </w:r>
    </w:p>
    <w:p w14:paraId="40175F45">
      <w:pPr>
        <w:tabs>
          <w:tab w:val="clear" w:pos="4150"/>
          <w:tab w:val="clear" w:pos="10103"/>
        </w:tabs>
        <w:spacing w:line="240" w:lineRule="auto"/>
        <w:ind w:firstLine="0" w:firstLineChars="0"/>
        <w:rPr>
          <w:rFonts w:eastAsia="方正大标宋简体"/>
          <w:sz w:val="28"/>
        </w:rPr>
      </w:pPr>
      <w:r>
        <w:rPr>
          <w:sz w:val="28"/>
        </w:rPr>
        <mc:AlternateContent>
          <mc:Choice Requires="wps">
            <w:drawing>
              <wp:anchor distT="0" distB="0" distL="114300" distR="114300" simplePos="0" relativeHeight="251662336" behindDoc="0" locked="0" layoutInCell="1" allowOverlap="1">
                <wp:simplePos x="0" y="0"/>
                <wp:positionH relativeFrom="column">
                  <wp:posOffset>-19050</wp:posOffset>
                </wp:positionH>
                <wp:positionV relativeFrom="paragraph">
                  <wp:posOffset>118110</wp:posOffset>
                </wp:positionV>
                <wp:extent cx="5805170" cy="0"/>
                <wp:effectExtent l="9525" t="13335" r="14605" b="15240"/>
                <wp:wrapNone/>
                <wp:docPr id="575277932"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5805170" cy="0"/>
                        </a:xfrm>
                        <a:prstGeom prst="line">
                          <a:avLst/>
                        </a:prstGeom>
                        <a:noFill/>
                        <a:ln w="19050" cmpd="sng">
                          <a:solidFill>
                            <a:srgbClr val="000000"/>
                          </a:solidFill>
                          <a:round/>
                        </a:ln>
                      </wps:spPr>
                      <wps:bodyPr/>
                    </wps:wsp>
                  </a:graphicData>
                </a:graphic>
              </wp:anchor>
            </w:drawing>
          </mc:Choice>
          <mc:Fallback>
            <w:pict>
              <v:line id="直接连接符 11" o:spid="_x0000_s1026" o:spt="20" style="position:absolute;left:0pt;margin-left:-1.5pt;margin-top:9.3pt;height:0pt;width:457.1pt;z-index:251662336;mso-width-relative:page;mso-height-relative:page;" filled="f" stroked="t" coordsize="21600,21600" o:gfxdata="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cBIi31QAAAAgBAAAPAAAAAAAAAAEAIAAAACIAAABkcnMvZG93bnJldi54bWxQSwECFAAUAAAA&#10;CACHTuJAE2tzA/EBAAC/AwAADgAAAAAAAAABACAAAAAkAQAAZHJzL2Uyb0RvYy54bWxQSwUGAAAA&#10;AAYABgBZAQAAhwUAAAAA&#10;">
                <v:fill on="f" focussize="0,0"/>
                <v:stroke weight="1.5pt" color="#000000" joinstyle="round"/>
                <v:imagedata o:title=""/>
                <o:lock v:ext="edit" aspectratio="f"/>
              </v:line>
            </w:pict>
          </mc:Fallback>
        </mc:AlternateContent>
      </w:r>
    </w:p>
    <w:p w14:paraId="3C30C453">
      <w:pPr>
        <w:tabs>
          <w:tab w:val="clear" w:pos="4150"/>
          <w:tab w:val="clear" w:pos="10103"/>
        </w:tabs>
        <w:spacing w:line="240" w:lineRule="auto"/>
        <w:ind w:left="-50" w:leftChars="-161" w:hanging="336" w:hangingChars="120"/>
        <w:rPr>
          <w:rFonts w:eastAsia="方正大标宋简体"/>
          <w:spacing w:val="6"/>
          <w:sz w:val="28"/>
        </w:rPr>
      </w:pPr>
      <w:r>
        <w:rPr>
          <w:rFonts w:hint="eastAsia" w:eastAsia="方正大标宋简体"/>
          <w:sz w:val="28"/>
        </w:rPr>
        <w:t xml:space="preserve">      </w:t>
      </w:r>
    </w:p>
    <w:p w14:paraId="35E879B9">
      <w:pPr>
        <w:tabs>
          <w:tab w:val="clear" w:pos="4150"/>
          <w:tab w:val="clear" w:pos="10103"/>
        </w:tabs>
        <w:spacing w:line="240" w:lineRule="auto"/>
        <w:ind w:firstLine="0" w:firstLineChars="0"/>
        <w:rPr>
          <w:rFonts w:eastAsia="方正大标宋简体"/>
        </w:rPr>
      </w:pPr>
    </w:p>
    <w:p w14:paraId="32927251">
      <w:pPr>
        <w:tabs>
          <w:tab w:val="clear" w:pos="4150"/>
          <w:tab w:val="clear" w:pos="10103"/>
        </w:tabs>
        <w:spacing w:line="240" w:lineRule="auto"/>
        <w:ind w:firstLine="0" w:firstLineChars="0"/>
        <w:rPr>
          <w:rFonts w:eastAsia="方正大标宋简体"/>
        </w:rPr>
      </w:pPr>
    </w:p>
    <w:p w14:paraId="37386B89">
      <w:pPr>
        <w:tabs>
          <w:tab w:val="clear" w:pos="4150"/>
          <w:tab w:val="clear" w:pos="10103"/>
        </w:tabs>
        <w:spacing w:line="240" w:lineRule="auto"/>
        <w:ind w:firstLine="0" w:firstLineChars="0"/>
        <w:rPr>
          <w:rFonts w:eastAsia="方正大标宋简体"/>
        </w:rPr>
      </w:pPr>
    </w:p>
    <w:p w14:paraId="03FE3B7D">
      <w:pPr>
        <w:tabs>
          <w:tab w:val="clear" w:pos="4150"/>
          <w:tab w:val="clear" w:pos="10103"/>
        </w:tabs>
        <w:spacing w:line="240" w:lineRule="auto"/>
        <w:ind w:firstLine="0" w:firstLineChars="0"/>
        <w:rPr>
          <w:rFonts w:eastAsia="方正大标宋简体"/>
        </w:rPr>
      </w:pPr>
    </w:p>
    <w:p w14:paraId="4B3CED3F">
      <w:pPr>
        <w:tabs>
          <w:tab w:val="clear" w:pos="4150"/>
          <w:tab w:val="clear" w:pos="10103"/>
        </w:tabs>
        <w:spacing w:line="240" w:lineRule="auto"/>
        <w:ind w:firstLine="0" w:firstLineChars="0"/>
        <w:rPr>
          <w:rFonts w:eastAsia="方正大标宋简体"/>
        </w:rPr>
      </w:pPr>
    </w:p>
    <w:p w14:paraId="7B66649F">
      <w:pPr>
        <w:tabs>
          <w:tab w:val="clear" w:pos="4150"/>
          <w:tab w:val="clear" w:pos="10103"/>
        </w:tabs>
        <w:spacing w:line="240" w:lineRule="auto"/>
        <w:ind w:firstLine="0" w:firstLineChars="0"/>
        <w:rPr>
          <w:rFonts w:eastAsia="方正大标宋简体"/>
        </w:rPr>
      </w:pPr>
    </w:p>
    <w:p w14:paraId="222F26B1">
      <w:pPr>
        <w:tabs>
          <w:tab w:val="clear" w:pos="4150"/>
          <w:tab w:val="clear" w:pos="10103"/>
        </w:tabs>
        <w:spacing w:line="240" w:lineRule="auto"/>
        <w:ind w:firstLine="0" w:firstLineChars="0"/>
        <w:rPr>
          <w:rFonts w:eastAsia="方正大标宋简体"/>
        </w:rPr>
      </w:pPr>
    </w:p>
    <w:p w14:paraId="05EC22C1">
      <w:pPr>
        <w:tabs>
          <w:tab w:val="clear" w:pos="4150"/>
          <w:tab w:val="clear" w:pos="10103"/>
        </w:tabs>
        <w:spacing w:line="240" w:lineRule="auto"/>
        <w:ind w:firstLine="0" w:firstLineChars="0"/>
        <w:rPr>
          <w:rFonts w:eastAsia="方正大标宋简体"/>
        </w:rPr>
      </w:pPr>
    </w:p>
    <w:p w14:paraId="4EFE0068">
      <w:pPr>
        <w:tabs>
          <w:tab w:val="clear" w:pos="4150"/>
          <w:tab w:val="clear" w:pos="10103"/>
        </w:tabs>
        <w:spacing w:line="240" w:lineRule="auto"/>
        <w:ind w:firstLine="1260" w:firstLineChars="450"/>
        <w:rPr>
          <w:rFonts w:hint="eastAsia" w:ascii="黑体" w:hAnsi="黑体" w:eastAsia="黑体"/>
          <w:color w:val="000000"/>
          <w:sz w:val="28"/>
        </w:rPr>
      </w:pPr>
      <w:r>
        <w:rPr>
          <w:rFonts w:hint="eastAsia" w:ascii="黑体" w:eastAsia="黑体"/>
          <w:sz w:val="28"/>
        </w:rPr>
        <w:t>归</w:t>
      </w:r>
      <w:r>
        <w:rPr>
          <w:rFonts w:hint="eastAsia" w:ascii="黑体" w:eastAsia="黑体"/>
          <w:sz w:val="18"/>
          <w:szCs w:val="18"/>
        </w:rPr>
        <w:t xml:space="preserve">  </w:t>
      </w:r>
      <w:r>
        <w:rPr>
          <w:rFonts w:hint="eastAsia" w:ascii="黑体" w:eastAsia="黑体"/>
          <w:sz w:val="28"/>
        </w:rPr>
        <w:t>口</w:t>
      </w:r>
      <w:r>
        <w:rPr>
          <w:rFonts w:hint="eastAsia" w:ascii="黑体" w:eastAsia="黑体"/>
          <w:sz w:val="18"/>
          <w:szCs w:val="18"/>
        </w:rPr>
        <w:t xml:space="preserve">  </w:t>
      </w:r>
      <w:r>
        <w:rPr>
          <w:rFonts w:hint="eastAsia" w:ascii="黑体" w:eastAsia="黑体"/>
          <w:sz w:val="28"/>
        </w:rPr>
        <w:t>单</w:t>
      </w:r>
      <w:r>
        <w:rPr>
          <w:rFonts w:hint="eastAsia" w:ascii="黑体" w:eastAsia="黑体"/>
          <w:sz w:val="18"/>
          <w:szCs w:val="18"/>
        </w:rPr>
        <w:t xml:space="preserve">  </w:t>
      </w:r>
      <w:r>
        <w:rPr>
          <w:rFonts w:hint="eastAsia" w:ascii="黑体" w:eastAsia="黑体"/>
          <w:sz w:val="28"/>
        </w:rPr>
        <w:t>位</w:t>
      </w:r>
      <w:r>
        <w:rPr>
          <w:rFonts w:hint="eastAsia" w:ascii="黑体" w:eastAsia="黑体"/>
          <w:bCs/>
          <w:sz w:val="28"/>
        </w:rPr>
        <w:t>：</w:t>
      </w:r>
      <w:r>
        <w:rPr>
          <w:rFonts w:hint="eastAsia" w:ascii="黑体" w:hAnsi="黑体" w:eastAsia="黑体"/>
          <w:color w:val="000000"/>
          <w:sz w:val="28"/>
        </w:rPr>
        <w:t>全国新材料与纳米计量技术委员会</w:t>
      </w:r>
    </w:p>
    <w:p w14:paraId="01627BC3">
      <w:pPr>
        <w:tabs>
          <w:tab w:val="clear" w:pos="4150"/>
          <w:tab w:val="clear" w:pos="10103"/>
        </w:tabs>
        <w:spacing w:line="240" w:lineRule="auto"/>
        <w:ind w:firstLine="1260" w:firstLineChars="450"/>
        <w:rPr>
          <w:rFonts w:hint="eastAsia" w:ascii="黑体" w:hAnsi="黑体" w:eastAsia="黑体"/>
          <w:color w:val="000000"/>
          <w:sz w:val="28"/>
        </w:rPr>
      </w:pPr>
      <w:r>
        <w:rPr>
          <w:rFonts w:hint="eastAsia" w:ascii="黑体" w:hAnsi="黑体" w:eastAsia="黑体"/>
          <w:color w:val="000000"/>
          <w:sz w:val="28"/>
        </w:rPr>
        <w:t xml:space="preserve">主要起草单位： </w:t>
      </w:r>
    </w:p>
    <w:p w14:paraId="3A32A37C">
      <w:pPr>
        <w:tabs>
          <w:tab w:val="clear" w:pos="4150"/>
          <w:tab w:val="clear" w:pos="10103"/>
        </w:tabs>
        <w:spacing w:line="240" w:lineRule="auto"/>
        <w:ind w:firstLine="1260" w:firstLineChars="450"/>
        <w:rPr>
          <w:rFonts w:hint="eastAsia" w:ascii="黑体" w:hAnsi="黑体" w:eastAsia="黑体"/>
          <w:color w:val="000000"/>
          <w:sz w:val="28"/>
        </w:rPr>
      </w:pPr>
      <w:r>
        <w:rPr>
          <w:rFonts w:hint="eastAsia" w:ascii="黑体" w:hAnsi="黑体" w:eastAsia="黑体"/>
          <w:color w:val="000000"/>
          <w:sz w:val="28"/>
        </w:rPr>
        <w:t xml:space="preserve">              </w:t>
      </w:r>
    </w:p>
    <w:p w14:paraId="43B69601">
      <w:pPr>
        <w:tabs>
          <w:tab w:val="clear" w:pos="4150"/>
          <w:tab w:val="clear" w:pos="10103"/>
        </w:tabs>
        <w:spacing w:line="240" w:lineRule="auto"/>
        <w:ind w:firstLine="1260" w:firstLineChars="450"/>
        <w:rPr>
          <w:rFonts w:hint="eastAsia" w:ascii="黑体" w:hAnsi="黑体" w:eastAsia="黑体"/>
          <w:color w:val="000000"/>
          <w:sz w:val="28"/>
        </w:rPr>
      </w:pPr>
      <w:r>
        <w:rPr>
          <w:rFonts w:hint="eastAsia" w:ascii="黑体" w:hAnsi="黑体" w:eastAsia="黑体"/>
          <w:color w:val="000000"/>
          <w:sz w:val="28"/>
        </w:rPr>
        <w:t xml:space="preserve">参加起草单位：              </w:t>
      </w:r>
    </w:p>
    <w:p w14:paraId="4EA56E04">
      <w:pPr>
        <w:tabs>
          <w:tab w:val="clear" w:pos="4150"/>
          <w:tab w:val="clear" w:pos="10103"/>
        </w:tabs>
        <w:spacing w:line="240" w:lineRule="auto"/>
        <w:ind w:firstLine="1260" w:firstLineChars="450"/>
        <w:rPr>
          <w:rFonts w:hint="eastAsia" w:ascii="黑体" w:hAnsi="黑体" w:eastAsia="黑体"/>
          <w:color w:val="FFC000"/>
          <w:sz w:val="28"/>
        </w:rPr>
      </w:pPr>
      <w:r>
        <w:rPr>
          <w:rFonts w:hint="eastAsia" w:ascii="黑体" w:hAnsi="黑体" w:eastAsia="黑体"/>
          <w:color w:val="000000"/>
          <w:sz w:val="28"/>
        </w:rPr>
        <w:t xml:space="preserve">              </w:t>
      </w:r>
    </w:p>
    <w:p w14:paraId="3B7A7E7F">
      <w:pPr>
        <w:tabs>
          <w:tab w:val="clear" w:pos="4150"/>
          <w:tab w:val="clear" w:pos="10103"/>
        </w:tabs>
        <w:spacing w:line="240" w:lineRule="auto"/>
        <w:ind w:firstLine="1260" w:firstLineChars="450"/>
        <w:rPr>
          <w:rFonts w:eastAsia="方正大标宋简体"/>
        </w:rPr>
      </w:pPr>
      <w:r>
        <w:rPr>
          <w:rFonts w:hint="eastAsia" w:ascii="宋体" w:hAnsi="宋体"/>
          <w:sz w:val="28"/>
        </w:rPr>
        <w:t xml:space="preserve">                       </w:t>
      </w:r>
    </w:p>
    <w:p w14:paraId="6553AF51">
      <w:pPr>
        <w:tabs>
          <w:tab w:val="clear" w:pos="4150"/>
          <w:tab w:val="clear" w:pos="10103"/>
        </w:tabs>
        <w:spacing w:line="240" w:lineRule="auto"/>
        <w:ind w:firstLine="0" w:firstLineChars="0"/>
        <w:rPr>
          <w:rFonts w:eastAsia="方正大标宋简体"/>
        </w:rPr>
      </w:pPr>
    </w:p>
    <w:p w14:paraId="5679A6D1">
      <w:pPr>
        <w:tabs>
          <w:tab w:val="clear" w:pos="4150"/>
          <w:tab w:val="clear" w:pos="10103"/>
        </w:tabs>
        <w:spacing w:line="240" w:lineRule="auto"/>
        <w:ind w:firstLine="0" w:firstLineChars="0"/>
        <w:rPr>
          <w:rFonts w:eastAsia="方正大标宋简体"/>
        </w:rPr>
      </w:pPr>
    </w:p>
    <w:p w14:paraId="14018B73">
      <w:pPr>
        <w:tabs>
          <w:tab w:val="clear" w:pos="4150"/>
          <w:tab w:val="clear" w:pos="10103"/>
        </w:tabs>
        <w:spacing w:line="240" w:lineRule="auto"/>
        <w:ind w:firstLine="0" w:firstLineChars="0"/>
        <w:rPr>
          <w:rFonts w:eastAsia="方正大标宋简体"/>
        </w:rPr>
      </w:pPr>
    </w:p>
    <w:p w14:paraId="1A4F875B">
      <w:pPr>
        <w:tabs>
          <w:tab w:val="clear" w:pos="4150"/>
          <w:tab w:val="clear" w:pos="10103"/>
        </w:tabs>
        <w:spacing w:line="500" w:lineRule="exact"/>
        <w:ind w:firstLine="0" w:firstLineChars="0"/>
        <w:jc w:val="center"/>
        <w:rPr>
          <w:rFonts w:hint="eastAsia" w:ascii="宋体" w:hAnsi="宋体"/>
          <w:sz w:val="28"/>
        </w:rPr>
      </w:pPr>
      <w:r>
        <w:rPr>
          <w:rFonts w:hint="eastAsia" w:ascii="宋体" w:hAnsi="宋体"/>
          <w:sz w:val="28"/>
        </w:rPr>
        <w:t>本规范委托全国新材料与纳米计量技术委员会负责解释</w:t>
      </w:r>
    </w:p>
    <w:p w14:paraId="5BD4D9BF">
      <w:pPr>
        <w:tabs>
          <w:tab w:val="clear" w:pos="4150"/>
          <w:tab w:val="clear" w:pos="10103"/>
        </w:tabs>
        <w:spacing w:line="240" w:lineRule="auto"/>
        <w:ind w:firstLine="570" w:firstLineChars="0"/>
        <w:jc w:val="left"/>
        <w:outlineLvl w:val="0"/>
        <w:rPr>
          <w:rFonts w:eastAsia="黑体" w:cs="黑体"/>
          <w:sz w:val="28"/>
          <w:szCs w:val="28"/>
        </w:rPr>
      </w:pPr>
    </w:p>
    <w:bookmarkEnd w:id="0"/>
    <w:bookmarkEnd w:id="1"/>
    <w:bookmarkEnd w:id="7"/>
    <w:bookmarkEnd w:id="8"/>
    <w:bookmarkEnd w:id="9"/>
    <w:bookmarkEnd w:id="10"/>
    <w:bookmarkEnd w:id="11"/>
    <w:p w14:paraId="30F2FCDB">
      <w:pPr>
        <w:tabs>
          <w:tab w:val="clear" w:pos="4150"/>
          <w:tab w:val="clear" w:pos="10103"/>
        </w:tabs>
        <w:spacing w:line="240" w:lineRule="auto"/>
        <w:ind w:firstLine="570" w:firstLineChars="0"/>
        <w:jc w:val="left"/>
        <w:outlineLvl w:val="0"/>
        <w:rPr>
          <w:b/>
          <w:bCs/>
          <w:sz w:val="28"/>
          <w:szCs w:val="28"/>
        </w:rPr>
      </w:pPr>
      <w:r>
        <w:rPr>
          <w:rFonts w:hint="eastAsia" w:eastAsia="黑体" w:cs="黑体"/>
          <w:sz w:val="28"/>
          <w:szCs w:val="28"/>
        </w:rPr>
        <w:t>本规范主要起草人</w:t>
      </w:r>
      <w:r>
        <w:rPr>
          <w:rFonts w:hint="eastAsia" w:cs="宋体"/>
          <w:b/>
          <w:bCs/>
          <w:sz w:val="28"/>
          <w:szCs w:val="28"/>
        </w:rPr>
        <w:t>：</w:t>
      </w:r>
    </w:p>
    <w:p w14:paraId="74DB31DA">
      <w:pPr>
        <w:tabs>
          <w:tab w:val="clear" w:pos="4150"/>
          <w:tab w:val="clear" w:pos="10103"/>
        </w:tabs>
        <w:spacing w:line="240" w:lineRule="auto"/>
        <w:ind w:firstLine="570" w:firstLineChars="0"/>
        <w:jc w:val="left"/>
        <w:outlineLvl w:val="0"/>
        <w:rPr>
          <w:rFonts w:eastAsia="黑体"/>
          <w:sz w:val="28"/>
          <w:szCs w:val="28"/>
        </w:rPr>
      </w:pPr>
      <w:r>
        <w:rPr>
          <w:sz w:val="28"/>
          <w:szCs w:val="28"/>
        </w:rPr>
        <w:t xml:space="preserve">          </w:t>
      </w:r>
      <w:r>
        <w:rPr>
          <w:rFonts w:hint="eastAsia" w:eastAsia="黑体"/>
          <w:sz w:val="28"/>
          <w:szCs w:val="28"/>
        </w:rPr>
        <w:t xml:space="preserve"> </w:t>
      </w:r>
    </w:p>
    <w:p w14:paraId="1814764D">
      <w:pPr>
        <w:tabs>
          <w:tab w:val="clear" w:pos="4150"/>
          <w:tab w:val="clear" w:pos="10103"/>
        </w:tabs>
        <w:spacing w:line="240" w:lineRule="auto"/>
        <w:ind w:firstLine="570" w:firstLineChars="0"/>
        <w:jc w:val="left"/>
        <w:outlineLvl w:val="0"/>
        <w:rPr>
          <w:sz w:val="28"/>
          <w:szCs w:val="28"/>
        </w:rPr>
      </w:pPr>
      <w:r>
        <w:rPr>
          <w:rFonts w:hint="eastAsia" w:eastAsia="黑体"/>
          <w:sz w:val="28"/>
          <w:szCs w:val="28"/>
        </w:rPr>
        <w:t xml:space="preserve">          </w:t>
      </w:r>
    </w:p>
    <w:p w14:paraId="640B366C">
      <w:pPr>
        <w:tabs>
          <w:tab w:val="clear" w:pos="4150"/>
          <w:tab w:val="clear" w:pos="10103"/>
        </w:tabs>
        <w:spacing w:line="240" w:lineRule="auto"/>
        <w:ind w:firstLine="570" w:firstLineChars="0"/>
        <w:jc w:val="left"/>
        <w:outlineLvl w:val="0"/>
        <w:rPr>
          <w:rFonts w:eastAsia="黑体"/>
          <w:sz w:val="28"/>
          <w:szCs w:val="28"/>
        </w:rPr>
      </w:pPr>
      <w:r>
        <w:rPr>
          <w:sz w:val="28"/>
          <w:szCs w:val="28"/>
        </w:rPr>
        <w:t xml:space="preserve">     </w:t>
      </w:r>
      <w:bookmarkStart w:id="12" w:name="_Toc101442448"/>
      <w:bookmarkStart w:id="13" w:name="_Toc101281458"/>
      <w:bookmarkStart w:id="14" w:name="_Toc511311518"/>
      <w:bookmarkStart w:id="15" w:name="_Toc89184071"/>
      <w:bookmarkStart w:id="16" w:name="_Toc511320451"/>
      <w:r>
        <w:rPr>
          <w:rFonts w:hint="eastAsia" w:eastAsia="黑体" w:cs="黑体"/>
          <w:sz w:val="28"/>
          <w:szCs w:val="28"/>
        </w:rPr>
        <w:t>参加起草人：</w:t>
      </w:r>
      <w:bookmarkEnd w:id="12"/>
      <w:bookmarkEnd w:id="13"/>
      <w:bookmarkEnd w:id="14"/>
      <w:bookmarkEnd w:id="15"/>
      <w:bookmarkEnd w:id="16"/>
    </w:p>
    <w:p w14:paraId="1D33ADE5">
      <w:pPr>
        <w:tabs>
          <w:tab w:val="clear" w:pos="4150"/>
          <w:tab w:val="clear" w:pos="10103"/>
        </w:tabs>
        <w:spacing w:line="240" w:lineRule="auto"/>
        <w:ind w:firstLine="570" w:firstLineChars="0"/>
        <w:jc w:val="left"/>
        <w:outlineLvl w:val="0"/>
        <w:rPr>
          <w:rFonts w:eastAsia="黑体"/>
          <w:sz w:val="28"/>
          <w:szCs w:val="28"/>
        </w:rPr>
      </w:pPr>
      <w:r>
        <w:rPr>
          <w:sz w:val="28"/>
          <w:szCs w:val="28"/>
        </w:rPr>
        <w:t xml:space="preserve">          </w:t>
      </w:r>
      <w:r>
        <w:rPr>
          <w:rFonts w:hint="eastAsia" w:eastAsia="黑体"/>
          <w:sz w:val="28"/>
          <w:szCs w:val="28"/>
        </w:rPr>
        <w:t xml:space="preserve"> </w:t>
      </w:r>
    </w:p>
    <w:p w14:paraId="62A2E9CE">
      <w:pPr>
        <w:tabs>
          <w:tab w:val="clear" w:pos="4150"/>
          <w:tab w:val="clear" w:pos="10103"/>
        </w:tabs>
        <w:spacing w:line="240" w:lineRule="auto"/>
        <w:ind w:firstLine="570" w:firstLineChars="0"/>
        <w:jc w:val="left"/>
        <w:outlineLvl w:val="0"/>
        <w:rPr>
          <w:rFonts w:eastAsia="黑体"/>
          <w:color w:val="FFC000"/>
          <w:sz w:val="28"/>
          <w:szCs w:val="28"/>
        </w:rPr>
      </w:pPr>
      <w:r>
        <w:rPr>
          <w:rFonts w:hint="eastAsia" w:eastAsia="黑体"/>
          <w:sz w:val="28"/>
          <w:szCs w:val="28"/>
        </w:rPr>
        <w:t xml:space="preserve">           </w:t>
      </w:r>
    </w:p>
    <w:p w14:paraId="1EF065D8">
      <w:pPr>
        <w:tabs>
          <w:tab w:val="clear" w:pos="4150"/>
          <w:tab w:val="clear" w:pos="10103"/>
        </w:tabs>
        <w:spacing w:line="240" w:lineRule="auto"/>
        <w:ind w:firstLine="570" w:firstLineChars="0"/>
        <w:jc w:val="center"/>
        <w:rPr>
          <w:sz w:val="28"/>
          <w:szCs w:val="28"/>
        </w:rPr>
      </w:pPr>
    </w:p>
    <w:p w14:paraId="077FD96D">
      <w:pPr>
        <w:tabs>
          <w:tab w:val="clear" w:pos="4150"/>
          <w:tab w:val="clear" w:pos="10103"/>
        </w:tabs>
        <w:spacing w:line="240" w:lineRule="auto"/>
        <w:ind w:firstLine="570" w:firstLineChars="0"/>
        <w:jc w:val="center"/>
        <w:rPr>
          <w:sz w:val="28"/>
          <w:szCs w:val="28"/>
        </w:rPr>
      </w:pPr>
    </w:p>
    <w:p w14:paraId="4EC4E8CA">
      <w:pPr>
        <w:tabs>
          <w:tab w:val="clear" w:pos="4150"/>
          <w:tab w:val="clear" w:pos="10103"/>
        </w:tabs>
        <w:spacing w:line="240" w:lineRule="auto"/>
        <w:ind w:firstLine="570" w:firstLineChars="0"/>
        <w:jc w:val="center"/>
        <w:rPr>
          <w:sz w:val="28"/>
          <w:szCs w:val="28"/>
        </w:rPr>
      </w:pPr>
    </w:p>
    <w:p w14:paraId="73235E14">
      <w:pPr>
        <w:tabs>
          <w:tab w:val="clear" w:pos="4150"/>
          <w:tab w:val="clear" w:pos="10103"/>
        </w:tabs>
        <w:spacing w:line="240" w:lineRule="auto"/>
        <w:ind w:firstLine="570" w:firstLineChars="0"/>
        <w:jc w:val="center"/>
        <w:rPr>
          <w:sz w:val="28"/>
          <w:szCs w:val="28"/>
        </w:rPr>
      </w:pPr>
    </w:p>
    <w:p w14:paraId="2EDD1728">
      <w:pPr>
        <w:tabs>
          <w:tab w:val="clear" w:pos="4150"/>
          <w:tab w:val="clear" w:pos="10103"/>
        </w:tabs>
        <w:spacing w:line="240" w:lineRule="auto"/>
        <w:ind w:firstLine="570" w:firstLineChars="0"/>
        <w:jc w:val="center"/>
        <w:rPr>
          <w:sz w:val="28"/>
          <w:szCs w:val="28"/>
        </w:rPr>
      </w:pPr>
    </w:p>
    <w:p w14:paraId="72CE36F7">
      <w:pPr>
        <w:tabs>
          <w:tab w:val="clear" w:pos="4150"/>
          <w:tab w:val="clear" w:pos="10103"/>
        </w:tabs>
        <w:spacing w:line="240" w:lineRule="auto"/>
        <w:ind w:firstLine="570" w:firstLineChars="0"/>
        <w:jc w:val="center"/>
        <w:rPr>
          <w:sz w:val="28"/>
          <w:szCs w:val="28"/>
        </w:rPr>
      </w:pPr>
    </w:p>
    <w:p w14:paraId="6C1F8EF9">
      <w:pPr>
        <w:tabs>
          <w:tab w:val="clear" w:pos="4150"/>
          <w:tab w:val="clear" w:pos="10103"/>
        </w:tabs>
        <w:spacing w:line="240" w:lineRule="auto"/>
        <w:ind w:firstLine="570" w:firstLineChars="0"/>
        <w:jc w:val="center"/>
        <w:rPr>
          <w:sz w:val="28"/>
          <w:szCs w:val="28"/>
        </w:rPr>
      </w:pPr>
    </w:p>
    <w:p w14:paraId="11BCE05E">
      <w:pPr>
        <w:tabs>
          <w:tab w:val="clear" w:pos="4150"/>
          <w:tab w:val="clear" w:pos="10103"/>
        </w:tabs>
        <w:spacing w:line="240" w:lineRule="auto"/>
        <w:ind w:firstLine="570" w:firstLineChars="0"/>
        <w:jc w:val="center"/>
        <w:rPr>
          <w:sz w:val="28"/>
          <w:szCs w:val="28"/>
        </w:rPr>
      </w:pPr>
    </w:p>
    <w:p w14:paraId="15F83E02">
      <w:pPr>
        <w:tabs>
          <w:tab w:val="clear" w:pos="4150"/>
          <w:tab w:val="clear" w:pos="10103"/>
        </w:tabs>
        <w:spacing w:line="240" w:lineRule="auto"/>
        <w:ind w:firstLine="570" w:firstLineChars="0"/>
        <w:jc w:val="center"/>
        <w:rPr>
          <w:sz w:val="28"/>
          <w:szCs w:val="28"/>
        </w:rPr>
      </w:pPr>
    </w:p>
    <w:p w14:paraId="6F6F8D9E">
      <w:pPr>
        <w:tabs>
          <w:tab w:val="clear" w:pos="4150"/>
          <w:tab w:val="clear" w:pos="10103"/>
        </w:tabs>
        <w:spacing w:line="240" w:lineRule="auto"/>
        <w:ind w:firstLine="570" w:firstLineChars="0"/>
        <w:jc w:val="center"/>
        <w:rPr>
          <w:sz w:val="28"/>
          <w:szCs w:val="28"/>
        </w:rPr>
      </w:pPr>
    </w:p>
    <w:p w14:paraId="4CC9EAD3">
      <w:pPr>
        <w:ind w:firstLine="0" w:firstLineChars="0"/>
        <w:rPr>
          <w:sz w:val="28"/>
          <w:szCs w:val="28"/>
        </w:rPr>
      </w:pPr>
    </w:p>
    <w:p w14:paraId="3062A2BB">
      <w:pPr>
        <w:ind w:firstLine="560"/>
        <w:jc w:val="center"/>
        <w:rPr>
          <w:sz w:val="28"/>
          <w:szCs w:val="28"/>
        </w:rPr>
        <w:sectPr>
          <w:headerReference r:id="rId11" w:type="default"/>
          <w:footerReference r:id="rId13" w:type="default"/>
          <w:headerReference r:id="rId12" w:type="even"/>
          <w:pgSz w:w="11906" w:h="16838"/>
          <w:pgMar w:top="1264" w:right="1418" w:bottom="1418" w:left="1418" w:header="851" w:footer="992" w:gutter="0"/>
          <w:pgNumType w:start="1"/>
          <w:cols w:space="720" w:num="1"/>
          <w:docGrid w:type="lines" w:linePitch="312" w:charSpace="0"/>
        </w:sectPr>
      </w:pPr>
    </w:p>
    <w:p w14:paraId="06A70258">
      <w:pPr>
        <w:pStyle w:val="16"/>
      </w:pPr>
      <w:bookmarkStart w:id="17" w:name="_Toc101442453"/>
      <w:bookmarkStart w:id="18" w:name="_Toc101281463"/>
      <w:bookmarkStart w:id="19" w:name="_Toc177550246"/>
      <w:r>
        <w:rPr>
          <w:rFonts w:hint="eastAsia"/>
        </w:rPr>
        <w:t>目  录</w:t>
      </w:r>
      <w:bookmarkEnd w:id="17"/>
      <w:bookmarkEnd w:id="18"/>
      <w:bookmarkEnd w:id="19"/>
    </w:p>
    <w:p w14:paraId="148F711B">
      <w:pPr>
        <w:pStyle w:val="13"/>
        <w:rPr>
          <w:rFonts w:asciiTheme="minorHAnsi" w:hAnsiTheme="minorHAnsi" w:eastAsiaTheme="minorEastAsia" w:cstheme="minorBidi"/>
          <w:sz w:val="21"/>
          <w:szCs w:val="22"/>
          <w14:ligatures w14:val="standardContextual"/>
        </w:rPr>
      </w:pPr>
      <w:r>
        <w:rPr>
          <w:sz w:val="28"/>
          <w:szCs w:val="28"/>
        </w:rPr>
        <w:fldChar w:fldCharType="begin"/>
      </w:r>
      <w:r>
        <w:rPr>
          <w:sz w:val="28"/>
          <w:szCs w:val="28"/>
        </w:rPr>
        <w:instrText xml:space="preserve"> TOC \h \z \t "标题 1,1,标题 2,1,标题 3,1,引言,1" </w:instrText>
      </w:r>
      <w:r>
        <w:rPr>
          <w:sz w:val="28"/>
          <w:szCs w:val="28"/>
        </w:rPr>
        <w:fldChar w:fldCharType="separate"/>
      </w:r>
      <w:r>
        <w:fldChar w:fldCharType="begin"/>
      </w:r>
      <w:r>
        <w:instrText xml:space="preserve"> HYPERLINK \l "_Toc179358992" </w:instrText>
      </w:r>
      <w:r>
        <w:fldChar w:fldCharType="separate"/>
      </w:r>
      <w:r>
        <w:rPr>
          <w:rStyle w:val="22"/>
          <w:rFonts w:hint="eastAsia"/>
        </w:rPr>
        <w:t>引 言</w:t>
      </w:r>
      <w:r>
        <w:rPr>
          <w:rFonts w:hint="eastAsia"/>
        </w:rPr>
        <w:tab/>
      </w:r>
      <w:r>
        <w:rPr>
          <w:rFonts w:hint="eastAsia"/>
        </w:rPr>
        <w:fldChar w:fldCharType="begin"/>
      </w:r>
      <w:r>
        <w:rPr>
          <w:rFonts w:hint="eastAsia"/>
        </w:rPr>
        <w:instrText xml:space="preserve"> </w:instrText>
      </w:r>
      <w:r>
        <w:instrText xml:space="preserve">PAGEREF _Toc179358992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5DF2D127">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"_Toc179358993" </w:instrText>
      </w:r>
      <w:r>
        <w:fldChar w:fldCharType="separate"/>
      </w:r>
      <w:r>
        <w:rPr>
          <w:rStyle w:val="22"/>
          <w:rFonts w:hint="eastAsia"/>
        </w:rPr>
        <w:t xml:space="preserve">1 </w:t>
      </w:r>
      <w:r>
        <w:rPr>
          <w:rStyle w:val="22"/>
          <w:rFonts w:hint="eastAsia" w:hAnsi="黑体"/>
        </w:rPr>
        <w:t>范围</w:t>
      </w:r>
      <w:r>
        <w:rPr>
          <w:rFonts w:hint="eastAsia"/>
        </w:rPr>
        <w:tab/>
      </w:r>
      <w:r>
        <w:rPr>
          <w:rFonts w:hint="eastAsia"/>
        </w:rPr>
        <w:fldChar w:fldCharType="begin"/>
      </w:r>
      <w:r>
        <w:rPr>
          <w:rFonts w:hint="eastAsia"/>
        </w:rPr>
        <w:instrText xml:space="preserve"> </w:instrText>
      </w:r>
      <w:r>
        <w:instrText xml:space="preserve">PAGEREF _Toc179358993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74EB5C9">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"_Toc179358994" </w:instrText>
      </w:r>
      <w:r>
        <w:fldChar w:fldCharType="separate"/>
      </w:r>
      <w:r>
        <w:rPr>
          <w:rStyle w:val="22"/>
          <w:rFonts w:hint="eastAsia"/>
        </w:rPr>
        <w:t xml:space="preserve">2 </w:t>
      </w:r>
      <w:r>
        <w:rPr>
          <w:rStyle w:val="22"/>
          <w:rFonts w:hint="eastAsia" w:hAnsi="黑体"/>
        </w:rPr>
        <w:t>引用文件</w:t>
      </w:r>
      <w:r>
        <w:rPr>
          <w:rFonts w:hint="eastAsia"/>
        </w:rPr>
        <w:tab/>
      </w:r>
      <w:r>
        <w:rPr>
          <w:rFonts w:hint="eastAsia"/>
        </w:rPr>
        <w:fldChar w:fldCharType="begin"/>
      </w:r>
      <w:r>
        <w:rPr>
          <w:rFonts w:hint="eastAsia"/>
        </w:rPr>
        <w:instrText xml:space="preserve"> </w:instrText>
      </w:r>
      <w:r>
        <w:instrText xml:space="preserve">PAGEREF _Toc179358994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1A0BA16">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"_Toc179358995" </w:instrText>
      </w:r>
      <w:r>
        <w:fldChar w:fldCharType="separate"/>
      </w:r>
      <w:r>
        <w:rPr>
          <w:rStyle w:val="22"/>
          <w:rFonts w:hint="eastAsia"/>
        </w:rPr>
        <w:t xml:space="preserve">3 </w:t>
      </w:r>
      <w:r>
        <w:rPr>
          <w:rStyle w:val="22"/>
          <w:rFonts w:hint="eastAsia" w:hAnsi="黑体"/>
        </w:rPr>
        <w:t>概述</w:t>
      </w:r>
      <w:r>
        <w:rPr>
          <w:rFonts w:hint="eastAsia"/>
        </w:rPr>
        <w:tab/>
      </w:r>
      <w:r>
        <w:rPr>
          <w:rFonts w:hint="eastAsia"/>
        </w:rPr>
        <w:fldChar w:fldCharType="begin"/>
      </w:r>
      <w:r>
        <w:rPr>
          <w:rFonts w:hint="eastAsia"/>
        </w:rPr>
        <w:instrText xml:space="preserve"> </w:instrText>
      </w:r>
      <w:r>
        <w:instrText xml:space="preserve">PAGEREF _Toc179358995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E0F9E34">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"_Toc179358996" </w:instrText>
      </w:r>
      <w:r>
        <w:fldChar w:fldCharType="separate"/>
      </w:r>
      <w:r>
        <w:rPr>
          <w:rStyle w:val="22"/>
          <w:rFonts w:hint="eastAsia"/>
        </w:rPr>
        <w:t>4 计量特性</w:t>
      </w:r>
      <w:r>
        <w:rPr>
          <w:rFonts w:hint="eastAsia"/>
        </w:rPr>
        <w:tab/>
      </w:r>
      <w:r>
        <w:rPr>
          <w:rFonts w:hint="eastAsia"/>
        </w:rPr>
        <w:fldChar w:fldCharType="begin"/>
      </w:r>
      <w:r>
        <w:rPr>
          <w:rFonts w:hint="eastAsia"/>
        </w:rPr>
        <w:instrText xml:space="preserve"> </w:instrText>
      </w:r>
      <w:r>
        <w:instrText xml:space="preserve">PAGEREF _Toc179358996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8352448">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"_Toc179358997" </w:instrText>
      </w:r>
      <w:r>
        <w:fldChar w:fldCharType="separate"/>
      </w:r>
      <w:r>
        <w:rPr>
          <w:rStyle w:val="22"/>
          <w:rFonts w:hint="eastAsia"/>
        </w:rPr>
        <w:t>4.1 微纳线宽基本参数</w:t>
      </w:r>
      <w:r>
        <w:rPr>
          <w:rFonts w:hint="eastAsia"/>
        </w:rPr>
        <w:tab/>
      </w:r>
      <w:r>
        <w:rPr>
          <w:rFonts w:hint="eastAsia"/>
        </w:rPr>
        <w:fldChar w:fldCharType="begin"/>
      </w:r>
      <w:r>
        <w:rPr>
          <w:rFonts w:hint="eastAsia"/>
        </w:rPr>
        <w:instrText xml:space="preserve"> </w:instrText>
      </w:r>
      <w:r>
        <w:instrText xml:space="preserve">PAGEREF _Toc179358997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9BDAD81">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"_Toc179358998" </w:instrText>
      </w:r>
      <w:r>
        <w:fldChar w:fldCharType="separate"/>
      </w:r>
      <w:r>
        <w:rPr>
          <w:rStyle w:val="22"/>
          <w:rFonts w:hint="eastAsia"/>
        </w:rPr>
        <w:t>4.1.1 线宽</w:t>
      </w:r>
      <w:r>
        <w:rPr>
          <w:rStyle w:val="22"/>
          <w:rFonts w:hint="eastAsia"/>
          <w:i/>
          <w:iCs/>
        </w:rPr>
        <w:t>W</w:t>
      </w:r>
      <w:r>
        <w:rPr>
          <w:rFonts w:hint="eastAsia"/>
        </w:rPr>
        <w:tab/>
      </w:r>
      <w:r>
        <w:rPr>
          <w:rFonts w:hint="eastAsia"/>
        </w:rPr>
        <w:fldChar w:fldCharType="begin"/>
      </w:r>
      <w:r>
        <w:rPr>
          <w:rFonts w:hint="eastAsia"/>
        </w:rPr>
        <w:instrText xml:space="preserve"> </w:instrText>
      </w:r>
      <w:r>
        <w:instrText xml:space="preserve">PAGEREF _Toc179358998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CB6156A">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"_Toc179358999" </w:instrText>
      </w:r>
      <w:r>
        <w:fldChar w:fldCharType="separate"/>
      </w:r>
      <w:r>
        <w:rPr>
          <w:rStyle w:val="22"/>
          <w:rFonts w:hint="eastAsia"/>
        </w:rPr>
        <w:t>4.1.2 线宽均匀性</w:t>
      </w:r>
      <w:r>
        <w:rPr>
          <w:rStyle w:val="22"/>
          <w:rFonts w:hint="eastAsia"/>
          <w:i/>
          <w:iCs/>
        </w:rPr>
        <w:t>s</w:t>
      </w:r>
      <w:r>
        <w:rPr>
          <w:rFonts w:hint="eastAsia"/>
        </w:rPr>
        <w:tab/>
      </w:r>
      <w:r>
        <w:rPr>
          <w:rFonts w:hint="eastAsia"/>
        </w:rPr>
        <w:fldChar w:fldCharType="begin"/>
      </w:r>
      <w:r>
        <w:rPr>
          <w:rFonts w:hint="eastAsia"/>
        </w:rPr>
        <w:instrText xml:space="preserve"> </w:instrText>
      </w:r>
      <w:r>
        <w:instrText xml:space="preserve">PAGEREF _Toc179358999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0605E65">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"_Toc179359000" </w:instrText>
      </w:r>
      <w:r>
        <w:fldChar w:fldCharType="separate"/>
      </w:r>
      <w:r>
        <w:rPr>
          <w:rStyle w:val="22"/>
          <w:rFonts w:hint="eastAsia"/>
        </w:rPr>
        <w:t>4.2 微纳栅格基本参数</w:t>
      </w:r>
      <w:r>
        <w:rPr>
          <w:rFonts w:hint="eastAsia"/>
        </w:rPr>
        <w:tab/>
      </w:r>
      <w:r>
        <w:rPr>
          <w:rFonts w:hint="eastAsia"/>
        </w:rPr>
        <w:fldChar w:fldCharType="begin"/>
      </w:r>
      <w:r>
        <w:rPr>
          <w:rFonts w:hint="eastAsia"/>
        </w:rPr>
        <w:instrText xml:space="preserve"> </w:instrText>
      </w:r>
      <w:r>
        <w:instrText xml:space="preserve">PAGEREF _Toc179359000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C122F31">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"_Toc179359001" </w:instrText>
      </w:r>
      <w:r>
        <w:fldChar w:fldCharType="separate"/>
      </w:r>
      <w:r>
        <w:rPr>
          <w:rStyle w:val="22"/>
          <w:rFonts w:hint="eastAsia"/>
        </w:rPr>
        <w:t>4.2.1 平均栅格间距</w:t>
      </w:r>
      <w:r>
        <w:rPr>
          <w:rStyle w:val="22"/>
          <w:rFonts w:hint="eastAsia"/>
          <w:i/>
          <w:iCs/>
        </w:rPr>
        <w:t>P</w:t>
      </w:r>
      <w:r>
        <w:rPr>
          <w:rFonts w:hint="eastAsia"/>
        </w:rPr>
        <w:tab/>
      </w:r>
      <w:r>
        <w:rPr>
          <w:rFonts w:hint="eastAsia"/>
        </w:rPr>
        <w:fldChar w:fldCharType="begin"/>
      </w:r>
      <w:r>
        <w:rPr>
          <w:rFonts w:hint="eastAsia"/>
        </w:rPr>
        <w:instrText xml:space="preserve"> </w:instrText>
      </w:r>
      <w:r>
        <w:instrText xml:space="preserve">PAGEREF _Toc179359001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0A9573A">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"_Toc179359002" </w:instrText>
      </w:r>
      <w:r>
        <w:fldChar w:fldCharType="separate"/>
      </w:r>
      <w:r>
        <w:rPr>
          <w:rStyle w:val="22"/>
          <w:rFonts w:hint="eastAsia"/>
        </w:rPr>
        <w:t>4.2.2 栅格间距均匀性</w:t>
      </w:r>
      <w:r>
        <w:rPr>
          <w:rStyle w:val="22"/>
          <w:rFonts w:hint="eastAsia"/>
          <w:i/>
          <w:iCs/>
        </w:rPr>
        <w:t>s</w:t>
      </w:r>
      <w:r>
        <w:rPr>
          <w:rFonts w:hint="eastAsia"/>
        </w:rPr>
        <w:tab/>
      </w:r>
      <w:r>
        <w:rPr>
          <w:rFonts w:hint="eastAsia"/>
        </w:rPr>
        <w:fldChar w:fldCharType="begin"/>
      </w:r>
      <w:r>
        <w:rPr>
          <w:rFonts w:hint="eastAsia"/>
        </w:rPr>
        <w:instrText xml:space="preserve"> </w:instrText>
      </w:r>
      <w:r>
        <w:instrText xml:space="preserve">PAGEREF _Toc179359002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B83F940">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"_Toc179359003" </w:instrText>
      </w:r>
      <w:r>
        <w:fldChar w:fldCharType="separate"/>
      </w:r>
      <w:r>
        <w:rPr>
          <w:rStyle w:val="22"/>
          <w:rFonts w:hint="eastAsia"/>
        </w:rPr>
        <w:t>5 校准条件</w:t>
      </w:r>
      <w:r>
        <w:rPr>
          <w:rFonts w:hint="eastAsia"/>
        </w:rPr>
        <w:tab/>
      </w:r>
      <w:r>
        <w:rPr>
          <w:rFonts w:hint="eastAsia"/>
        </w:rPr>
        <w:fldChar w:fldCharType="begin"/>
      </w:r>
      <w:r>
        <w:rPr>
          <w:rFonts w:hint="eastAsia"/>
        </w:rPr>
        <w:instrText xml:space="preserve"> </w:instrText>
      </w:r>
      <w:r>
        <w:instrText xml:space="preserve">PAGEREF _Toc179359003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0FDFA66">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"_Toc179359004" </w:instrText>
      </w:r>
      <w:r>
        <w:fldChar w:fldCharType="separate"/>
      </w:r>
      <w:r>
        <w:rPr>
          <w:rStyle w:val="22"/>
          <w:rFonts w:hint="eastAsia"/>
        </w:rPr>
        <w:t>5.1 环境条件</w:t>
      </w:r>
      <w:r>
        <w:rPr>
          <w:rFonts w:hint="eastAsia"/>
        </w:rPr>
        <w:tab/>
      </w:r>
      <w:r>
        <w:rPr>
          <w:rFonts w:hint="eastAsia"/>
        </w:rPr>
        <w:fldChar w:fldCharType="begin"/>
      </w:r>
      <w:r>
        <w:rPr>
          <w:rFonts w:hint="eastAsia"/>
        </w:rPr>
        <w:instrText xml:space="preserve"> </w:instrText>
      </w:r>
      <w:r>
        <w:instrText xml:space="preserve">PAGEREF _Toc179359004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A7BCEFB">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"_Toc179359005" </w:instrText>
      </w:r>
      <w:r>
        <w:fldChar w:fldCharType="separate"/>
      </w:r>
      <w:r>
        <w:rPr>
          <w:rStyle w:val="22"/>
          <w:rFonts w:hint="eastAsia"/>
        </w:rPr>
        <w:t>5.2 测量标准及其他设备</w:t>
      </w:r>
      <w:r>
        <w:rPr>
          <w:rFonts w:hint="eastAsia"/>
        </w:rPr>
        <w:tab/>
      </w:r>
      <w:r>
        <w:rPr>
          <w:rFonts w:hint="eastAsia"/>
        </w:rPr>
        <w:fldChar w:fldCharType="begin"/>
      </w:r>
      <w:r>
        <w:rPr>
          <w:rFonts w:hint="eastAsia"/>
        </w:rPr>
        <w:instrText xml:space="preserve"> </w:instrText>
      </w:r>
      <w:r>
        <w:instrText xml:space="preserve">PAGEREF _Toc179359005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AC0484E">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"_Toc179359006" </w:instrText>
      </w:r>
      <w:r>
        <w:fldChar w:fldCharType="separate"/>
      </w:r>
      <w:r>
        <w:rPr>
          <w:rStyle w:val="22"/>
          <w:rFonts w:hint="eastAsia"/>
        </w:rPr>
        <w:t>6 校准项目和校准方法</w:t>
      </w:r>
      <w:r>
        <w:rPr>
          <w:rFonts w:hint="eastAsia"/>
        </w:rPr>
        <w:tab/>
      </w:r>
      <w:r>
        <w:rPr>
          <w:rFonts w:hint="eastAsia"/>
        </w:rPr>
        <w:fldChar w:fldCharType="begin"/>
      </w:r>
      <w:r>
        <w:rPr>
          <w:rFonts w:hint="eastAsia"/>
        </w:rPr>
        <w:instrText xml:space="preserve"> </w:instrText>
      </w:r>
      <w:r>
        <w:instrText xml:space="preserve">PAGEREF _Toc179359006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DA29901">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"_Toc179359007" </w:instrText>
      </w:r>
      <w:r>
        <w:fldChar w:fldCharType="separate"/>
      </w:r>
      <w:r>
        <w:rPr>
          <w:rStyle w:val="22"/>
          <w:rFonts w:hint="eastAsia"/>
        </w:rPr>
        <w:t>6.1 微纳线宽校准办法</w:t>
      </w:r>
      <w:r>
        <w:rPr>
          <w:rFonts w:hint="eastAsia"/>
        </w:rPr>
        <w:tab/>
      </w:r>
      <w:r>
        <w:rPr>
          <w:rFonts w:hint="eastAsia"/>
        </w:rPr>
        <w:fldChar w:fldCharType="begin"/>
      </w:r>
      <w:r>
        <w:rPr>
          <w:rFonts w:hint="eastAsia"/>
        </w:rPr>
        <w:instrText xml:space="preserve"> </w:instrText>
      </w:r>
      <w:r>
        <w:instrText xml:space="preserve">PAGEREF _Toc179359007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1D46579">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"_Toc179359008" </w:instrText>
      </w:r>
      <w:r>
        <w:fldChar w:fldCharType="separate"/>
      </w:r>
      <w:r>
        <w:rPr>
          <w:rStyle w:val="22"/>
          <w:rFonts w:hint="eastAsia"/>
        </w:rPr>
        <w:t>6.1.1 线宽</w:t>
      </w:r>
      <w:r>
        <w:rPr>
          <w:rFonts w:hint="eastAsia"/>
        </w:rPr>
        <w:tab/>
      </w:r>
      <w:r>
        <w:rPr>
          <w:rFonts w:hint="eastAsia"/>
        </w:rPr>
        <w:fldChar w:fldCharType="begin"/>
      </w:r>
      <w:r>
        <w:rPr>
          <w:rFonts w:hint="eastAsia"/>
        </w:rPr>
        <w:instrText xml:space="preserve"> </w:instrText>
      </w:r>
      <w:r>
        <w:instrText xml:space="preserve">PAGEREF _Toc179359008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C45AFF2">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"_Toc179359009" </w:instrText>
      </w:r>
      <w:r>
        <w:fldChar w:fldCharType="separate"/>
      </w:r>
      <w:r>
        <w:rPr>
          <w:rStyle w:val="22"/>
          <w:rFonts w:hint="eastAsia"/>
        </w:rPr>
        <w:t>6.1.2 线宽均匀性</w:t>
      </w:r>
      <w:r>
        <w:rPr>
          <w:rFonts w:hint="eastAsia"/>
        </w:rPr>
        <w:tab/>
      </w:r>
      <w:r>
        <w:rPr>
          <w:rFonts w:hint="eastAsia"/>
        </w:rPr>
        <w:fldChar w:fldCharType="begin"/>
      </w:r>
      <w:r>
        <w:rPr>
          <w:rFonts w:hint="eastAsia"/>
        </w:rPr>
        <w:instrText xml:space="preserve"> </w:instrText>
      </w:r>
      <w:r>
        <w:instrText xml:space="preserve">PAGEREF _Toc179359009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587B9A59">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"_Toc179359010" </w:instrText>
      </w:r>
      <w:r>
        <w:fldChar w:fldCharType="separate"/>
      </w:r>
      <w:r>
        <w:rPr>
          <w:rStyle w:val="22"/>
          <w:rFonts w:hint="eastAsia"/>
        </w:rPr>
        <w:t>6.2 微纳栅格校准办法</w:t>
      </w:r>
      <w:r>
        <w:rPr>
          <w:rFonts w:hint="eastAsia"/>
        </w:rPr>
        <w:tab/>
      </w:r>
      <w:r>
        <w:rPr>
          <w:rFonts w:hint="eastAsia"/>
        </w:rPr>
        <w:fldChar w:fldCharType="begin"/>
      </w:r>
      <w:r>
        <w:rPr>
          <w:rFonts w:hint="eastAsia"/>
        </w:rPr>
        <w:instrText xml:space="preserve"> </w:instrText>
      </w:r>
      <w:r>
        <w:instrText xml:space="preserve">PAGEREF _Toc179359010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8DD3475">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"_Toc179359011" </w:instrText>
      </w:r>
      <w:r>
        <w:fldChar w:fldCharType="separate"/>
      </w:r>
      <w:r>
        <w:rPr>
          <w:rStyle w:val="22"/>
          <w:rFonts w:hint="eastAsia"/>
        </w:rPr>
        <w:t>6.2.1 平均栅格间距</w:t>
      </w:r>
      <w:r>
        <w:rPr>
          <w:rFonts w:hint="eastAsia"/>
        </w:rPr>
        <w:tab/>
      </w:r>
      <w:r>
        <w:rPr>
          <w:rFonts w:hint="eastAsia"/>
        </w:rPr>
        <w:fldChar w:fldCharType="begin"/>
      </w:r>
      <w:r>
        <w:rPr>
          <w:rFonts w:hint="eastAsia"/>
        </w:rPr>
        <w:instrText xml:space="preserve"> </w:instrText>
      </w:r>
      <w:r>
        <w:instrText xml:space="preserve">PAGEREF _Toc179359011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9322419">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"_Toc179359012" </w:instrText>
      </w:r>
      <w:r>
        <w:fldChar w:fldCharType="separate"/>
      </w:r>
      <w:r>
        <w:rPr>
          <w:rStyle w:val="22"/>
          <w:rFonts w:hint="eastAsia"/>
        </w:rPr>
        <w:t>6.2.2 栅格间距均匀性</w:t>
      </w:r>
      <w:r>
        <w:rPr>
          <w:rFonts w:hint="eastAsia"/>
        </w:rPr>
        <w:tab/>
      </w:r>
      <w:r>
        <w:rPr>
          <w:rFonts w:hint="eastAsia"/>
        </w:rPr>
        <w:fldChar w:fldCharType="begin"/>
      </w:r>
      <w:r>
        <w:rPr>
          <w:rFonts w:hint="eastAsia"/>
        </w:rPr>
        <w:instrText xml:space="preserve"> </w:instrText>
      </w:r>
      <w:r>
        <w:instrText xml:space="preserve">PAGEREF _Toc179359012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39FCABF">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"_Toc179359013" </w:instrText>
      </w:r>
      <w:r>
        <w:fldChar w:fldCharType="separate"/>
      </w:r>
      <w:r>
        <w:rPr>
          <w:rStyle w:val="22"/>
          <w:rFonts w:hint="eastAsia"/>
        </w:rPr>
        <w:t>7 校准结果的表达</w:t>
      </w:r>
      <w:r>
        <w:rPr>
          <w:rFonts w:hint="eastAsia"/>
        </w:rPr>
        <w:tab/>
      </w:r>
      <w:r>
        <w:rPr>
          <w:rFonts w:hint="eastAsia"/>
        </w:rPr>
        <w:fldChar w:fldCharType="begin"/>
      </w:r>
      <w:r>
        <w:rPr>
          <w:rFonts w:hint="eastAsia"/>
        </w:rPr>
        <w:instrText xml:space="preserve"> </w:instrText>
      </w:r>
      <w:r>
        <w:instrText xml:space="preserve">PAGEREF _Toc179359013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7431B802">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"_Toc179359014" </w:instrText>
      </w:r>
      <w:r>
        <w:fldChar w:fldCharType="separate"/>
      </w:r>
      <w:r>
        <w:rPr>
          <w:rStyle w:val="22"/>
          <w:rFonts w:hint="eastAsia"/>
        </w:rPr>
        <w:t>8 复校时间间隔</w:t>
      </w:r>
      <w:r>
        <w:rPr>
          <w:rFonts w:hint="eastAsia"/>
        </w:rPr>
        <w:tab/>
      </w:r>
      <w:r>
        <w:rPr>
          <w:rFonts w:hint="eastAsia"/>
        </w:rPr>
        <w:fldChar w:fldCharType="begin"/>
      </w:r>
      <w:r>
        <w:rPr>
          <w:rFonts w:hint="eastAsia"/>
        </w:rPr>
        <w:instrText xml:space="preserve"> </w:instrText>
      </w:r>
      <w:r>
        <w:instrText xml:space="preserve">PAGEREF _Toc179359014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326D0E87">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"_Toc179359015" </w:instrText>
      </w:r>
      <w:r>
        <w:fldChar w:fldCharType="separate"/>
      </w:r>
      <w:r>
        <w:rPr>
          <w:rStyle w:val="22"/>
          <w:rFonts w:hint="eastAsia"/>
        </w:rPr>
        <w:t xml:space="preserve">附录A </w:t>
      </w:r>
      <w:r>
        <w:rPr>
          <w:rStyle w:val="22"/>
          <w:rFonts w:hint="eastAsia" w:cs="黑体"/>
        </w:rPr>
        <w:t>校 准 证 书 内 容</w:t>
      </w:r>
      <w:r>
        <w:rPr>
          <w:rFonts w:hint="eastAsia"/>
        </w:rPr>
        <w:tab/>
      </w:r>
      <w:r>
        <w:rPr>
          <w:rFonts w:hint="eastAsia"/>
        </w:rPr>
        <w:fldChar w:fldCharType="begin"/>
      </w:r>
      <w:r>
        <w:rPr>
          <w:rFonts w:hint="eastAsia"/>
        </w:rPr>
        <w:instrText xml:space="preserve"> </w:instrText>
      </w:r>
      <w:r>
        <w:instrText xml:space="preserve">PAGEREF _Toc179359015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1CD316CE">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"_Toc179359016" </w:instrText>
      </w:r>
      <w:r>
        <w:fldChar w:fldCharType="separate"/>
      </w:r>
      <w:r>
        <w:rPr>
          <w:rStyle w:val="22"/>
          <w:rFonts w:hint="eastAsia"/>
        </w:rPr>
        <w:t xml:space="preserve">附录B </w:t>
      </w:r>
      <w:r>
        <w:rPr>
          <w:rStyle w:val="22"/>
          <w:rFonts w:hint="eastAsia" w:cs="黑体"/>
        </w:rPr>
        <w:t>紫外光学法微纳线宽校准的不确定度评定示例</w:t>
      </w:r>
      <w:r>
        <w:rPr>
          <w:rFonts w:hint="eastAsia"/>
        </w:rPr>
        <w:tab/>
      </w:r>
      <w:r>
        <w:rPr>
          <w:rFonts w:hint="eastAsia"/>
        </w:rPr>
        <w:fldChar w:fldCharType="begin"/>
      </w:r>
      <w:r>
        <w:rPr>
          <w:rFonts w:hint="eastAsia"/>
        </w:rPr>
        <w:instrText xml:space="preserve"> </w:instrText>
      </w:r>
      <w:r>
        <w:instrText xml:space="preserve">PAGEREF _Toc179359016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691E946E">
      <w:pPr>
        <w:pStyle w:val="13"/>
        <w:rPr>
          <w:rFonts w:asciiTheme="minorHAnsi" w:hAnsiTheme="minorHAnsi" w:eastAsiaTheme="minorEastAsia" w:cstheme="minorBidi"/>
          <w:sz w:val="21"/>
          <w:szCs w:val="22"/>
          <w14:ligatures w14:val="standardContextual"/>
        </w:rPr>
      </w:pPr>
      <w:r>
        <w:fldChar w:fldCharType="begin"/>
      </w:r>
      <w:r>
        <w:instrText xml:space="preserve"> HYPERLINK \l "_Toc179359017" </w:instrText>
      </w:r>
      <w:r>
        <w:fldChar w:fldCharType="separate"/>
      </w:r>
      <w:r>
        <w:rPr>
          <w:rStyle w:val="22"/>
          <w:rFonts w:hint="eastAsia"/>
        </w:rPr>
        <w:t>附录C</w:t>
      </w:r>
      <w:r>
        <w:rPr>
          <w:rStyle w:val="22"/>
          <w:rFonts w:hint="eastAsia" w:ascii="黑体" w:hAnsi="黑体"/>
        </w:rPr>
        <w:t xml:space="preserve"> </w:t>
      </w:r>
      <w:r>
        <w:rPr>
          <w:rStyle w:val="22"/>
          <w:rFonts w:hint="eastAsia" w:cs="黑体"/>
        </w:rPr>
        <w:t>紫外光学法微纳栅格校准的不确定度评定示例</w:t>
      </w:r>
      <w:r>
        <w:rPr>
          <w:rFonts w:hint="eastAsia"/>
        </w:rPr>
        <w:tab/>
      </w:r>
      <w:r>
        <w:rPr>
          <w:rFonts w:hint="eastAsia"/>
        </w:rPr>
        <w:fldChar w:fldCharType="begin"/>
      </w:r>
      <w:r>
        <w:rPr>
          <w:rFonts w:hint="eastAsia"/>
        </w:rPr>
        <w:instrText xml:space="preserve"> </w:instrText>
      </w:r>
      <w:r>
        <w:instrText xml:space="preserve">PAGEREF _Toc179359017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51164E84">
      <w:pPr>
        <w:tabs>
          <w:tab w:val="right" w:leader="middleDot" w:pos="8505"/>
        </w:tabs>
        <w:ind w:firstLine="0" w:firstLineChars="0"/>
        <w:rPr>
          <w:sz w:val="28"/>
          <w:szCs w:val="28"/>
        </w:rPr>
      </w:pPr>
      <w:r>
        <w:rPr>
          <w:sz w:val="28"/>
          <w:szCs w:val="28"/>
        </w:rPr>
        <w:fldChar w:fldCharType="end"/>
      </w:r>
      <w:r>
        <w:rPr>
          <w:sz w:val="28"/>
          <w:szCs w:val="28"/>
        </w:rPr>
        <w:br w:type="page"/>
      </w:r>
    </w:p>
    <w:p w14:paraId="4574E08E">
      <w:pPr>
        <w:pStyle w:val="52"/>
      </w:pPr>
      <w:bookmarkStart w:id="20" w:name="_Toc179358992"/>
      <w:bookmarkStart w:id="21" w:name="_Toc177550247"/>
      <w:bookmarkStart w:id="22" w:name="_Toc54707737"/>
      <w:r>
        <w:rPr>
          <w:rFonts w:hint="eastAsia"/>
        </w:rPr>
        <w:t>引 言</w:t>
      </w:r>
      <w:bookmarkEnd w:id="20"/>
      <w:bookmarkEnd w:id="21"/>
      <w:bookmarkEnd w:id="22"/>
    </w:p>
    <w:p w14:paraId="5C1C7C79">
      <w:pPr>
        <w:ind w:firstLine="480"/>
        <w:rPr>
          <w:rFonts w:eastAsia="黑体"/>
          <w:kern w:val="0"/>
          <w:sz w:val="43"/>
          <w:szCs w:val="20"/>
        </w:rPr>
      </w:pPr>
      <w:r>
        <w:rPr>
          <w:rFonts w:hint="eastAsia"/>
        </w:rPr>
        <w:t>JJF 1071－2010《国家计量校准规范编写规则》、JJF 1001－2011《通用计量术语及定义》、JJF 1059.1－2012《测量不确定度评定与表示》共同构成支撑本校准规范制定的基础性系列规范。</w:t>
      </w:r>
    </w:p>
    <w:p w14:paraId="4BE01BA7">
      <w:pPr>
        <w:autoSpaceDE w:val="0"/>
        <w:autoSpaceDN w:val="0"/>
        <w:ind w:firstLine="480"/>
      </w:pPr>
      <w:r>
        <w:rPr>
          <w:rFonts w:ascii="宋体" w:hAnsi="宋体"/>
          <w:color w:val="000000"/>
        </w:rPr>
        <w:t>本规范为首次发布。</w:t>
      </w:r>
    </w:p>
    <w:p w14:paraId="56AB48DB">
      <w:pPr>
        <w:ind w:firstLine="480"/>
      </w:pPr>
    </w:p>
    <w:p w14:paraId="5564C662">
      <w:pPr>
        <w:ind w:firstLine="480"/>
        <w:sectPr>
          <w:headerReference r:id="rId14" w:type="default"/>
          <w:footerReference r:id="rId15" w:type="default"/>
          <w:pgSz w:w="11906" w:h="16838"/>
          <w:pgMar w:top="1264" w:right="1418" w:bottom="1418" w:left="1418" w:header="851" w:footer="992" w:gutter="0"/>
          <w:pgNumType w:fmt="upperRoman" w:start="1"/>
          <w:cols w:space="720" w:num="1"/>
          <w:docGrid w:type="lines" w:linePitch="326" w:charSpace="0"/>
        </w:sectPr>
      </w:pPr>
    </w:p>
    <w:p w14:paraId="680DBE2E">
      <w:pPr>
        <w:pStyle w:val="50"/>
        <w:ind w:firstLine="640"/>
      </w:pPr>
      <w:bookmarkStart w:id="23" w:name="_Hlk178346114"/>
      <w:r>
        <w:rPr>
          <w:rFonts w:hint="eastAsia"/>
        </w:rPr>
        <w:t>紫外光学法微纳线宽栅格校准规范</w:t>
      </w:r>
    </w:p>
    <w:bookmarkEnd w:id="23"/>
    <w:p w14:paraId="7245DC73">
      <w:pPr>
        <w:pStyle w:val="2"/>
        <w:rPr>
          <w:szCs w:val="24"/>
        </w:rPr>
      </w:pPr>
      <w:bookmarkStart w:id="24" w:name="_Toc179358993"/>
      <w:bookmarkStart w:id="25" w:name="_Toc177550248"/>
      <w:r>
        <w:rPr>
          <w:szCs w:val="24"/>
        </w:rPr>
        <w:t xml:space="preserve">1 </w:t>
      </w:r>
      <w:r>
        <w:rPr>
          <w:rFonts w:hAnsi="黑体"/>
          <w:szCs w:val="24"/>
        </w:rPr>
        <w:t>范围</w:t>
      </w:r>
      <w:bookmarkEnd w:id="24"/>
      <w:bookmarkEnd w:id="25"/>
    </w:p>
    <w:p w14:paraId="60A8EBC7">
      <w:pPr>
        <w:ind w:firstLine="480"/>
        <w:rPr>
          <w:rFonts w:hint="eastAsia" w:ascii="宋体" w:hAnsi="宋体"/>
          <w:szCs w:val="24"/>
        </w:rPr>
      </w:pPr>
      <w:r>
        <w:rPr>
          <w:rFonts w:hint="eastAsia" w:ascii="宋体" w:hAnsi="宋体"/>
          <w:szCs w:val="24"/>
        </w:rPr>
        <w:t>本规范适用于</w:t>
      </w:r>
      <w:r>
        <w:rPr>
          <w:rFonts w:ascii="宋体" w:hAnsi="宋体"/>
          <w:szCs w:val="24"/>
        </w:rPr>
        <w:tab/>
      </w:r>
      <w:r>
        <w:rPr>
          <w:rFonts w:hint="eastAsia" w:ascii="宋体" w:hAnsi="宋体"/>
          <w:szCs w:val="24"/>
        </w:rPr>
        <w:t>基于紫外光学法检测的，线宽为500nm至500</w:t>
      </w:r>
      <w:r>
        <w:rPr>
          <w:szCs w:val="24"/>
        </w:rPr>
        <w:t>μ</w:t>
      </w:r>
      <w:r>
        <w:rPr>
          <w:rFonts w:hint="eastAsia" w:ascii="宋体" w:hAnsi="宋体"/>
          <w:szCs w:val="24"/>
        </w:rPr>
        <w:t>m范围，以及栅格间距为500nm至500</w:t>
      </w:r>
      <w:r>
        <w:rPr>
          <w:szCs w:val="24"/>
        </w:rPr>
        <w:t>μm</w:t>
      </w:r>
      <w:r>
        <w:rPr>
          <w:rFonts w:hint="eastAsia" w:ascii="宋体" w:hAnsi="宋体"/>
          <w:szCs w:val="24"/>
        </w:rPr>
        <w:t>范围内的栅格内的校准。</w:t>
      </w:r>
    </w:p>
    <w:p w14:paraId="4B6A0AFB">
      <w:pPr>
        <w:pStyle w:val="2"/>
        <w:rPr>
          <w:szCs w:val="24"/>
        </w:rPr>
      </w:pPr>
      <w:bookmarkStart w:id="26" w:name="_Toc177550249"/>
      <w:bookmarkStart w:id="27" w:name="_Toc179358994"/>
      <w:r>
        <w:rPr>
          <w:szCs w:val="24"/>
        </w:rPr>
        <w:t xml:space="preserve">2 </w:t>
      </w:r>
      <w:r>
        <w:rPr>
          <w:rFonts w:hAnsi="黑体"/>
          <w:szCs w:val="24"/>
        </w:rPr>
        <w:t>引用文</w:t>
      </w:r>
      <w:r>
        <w:rPr>
          <w:rFonts w:hint="eastAsia" w:hAnsi="黑体"/>
          <w:szCs w:val="24"/>
        </w:rPr>
        <w:t>件</w:t>
      </w:r>
      <w:bookmarkEnd w:id="26"/>
      <w:bookmarkEnd w:id="27"/>
    </w:p>
    <w:p w14:paraId="722090C9">
      <w:pPr>
        <w:ind w:firstLine="480"/>
        <w:rPr>
          <w:kern w:val="21"/>
        </w:rPr>
      </w:pPr>
      <w:bookmarkStart w:id="28" w:name="_Hlk178617628"/>
      <w:r>
        <w:rPr>
          <w:rFonts w:hint="eastAsia"/>
          <w:kern w:val="21"/>
        </w:rPr>
        <w:t>GB/T 3505-2009 产品几何技术规范(GPS) 表面结构 轮廓法 术语、定义及表面结构参数</w:t>
      </w:r>
    </w:p>
    <w:bookmarkEnd w:id="28"/>
    <w:p w14:paraId="6C94E0C2">
      <w:pPr>
        <w:ind w:firstLine="480"/>
        <w:rPr>
          <w:kern w:val="21"/>
        </w:rPr>
      </w:pPr>
      <w:bookmarkStart w:id="29" w:name="_Hlk178617644"/>
      <w:r>
        <w:rPr>
          <w:kern w:val="21"/>
        </w:rPr>
        <w:t>GB/T 33523.1-2020</w:t>
      </w:r>
      <w:r>
        <w:rPr>
          <w:rFonts w:hint="eastAsia"/>
          <w:kern w:val="21"/>
        </w:rPr>
        <w:t xml:space="preserve"> </w:t>
      </w:r>
      <w:r>
        <w:rPr>
          <w:kern w:val="21"/>
        </w:rPr>
        <w:t>产品几何技术规范（GPS） 表面结构 区域法 第1部分：表面结构的表示法</w:t>
      </w:r>
    </w:p>
    <w:bookmarkEnd w:id="29"/>
    <w:p w14:paraId="3162960B">
      <w:pPr>
        <w:ind w:firstLine="480"/>
        <w:rPr>
          <w:kern w:val="21"/>
        </w:rPr>
      </w:pPr>
      <w:bookmarkStart w:id="30" w:name="_Hlk178617657"/>
      <w:r>
        <w:rPr>
          <w:kern w:val="21"/>
        </w:rPr>
        <w:t>GB/T 33523.6-2017</w:t>
      </w:r>
      <w:r>
        <w:rPr>
          <w:rFonts w:hint="eastAsia"/>
          <w:kern w:val="21"/>
        </w:rPr>
        <w:t xml:space="preserve"> 产品几何技术规范（GPS） 表面结构 区域法 第6部分：表面结构测量方法的分类</w:t>
      </w:r>
    </w:p>
    <w:bookmarkEnd w:id="30"/>
    <w:p w14:paraId="1E2E553F">
      <w:pPr>
        <w:ind w:firstLine="480"/>
        <w:rPr>
          <w:kern w:val="21"/>
        </w:rPr>
      </w:pPr>
      <w:r>
        <w:rPr>
          <w:rFonts w:hint="eastAsia"/>
          <w:kern w:val="21"/>
        </w:rPr>
        <w:t>IEC TS 62622:2012 纳米技术 人造光栅尺寸质量参数的描述和测量(</w:t>
      </w:r>
      <w:r>
        <w:rPr>
          <w:kern w:val="21"/>
        </w:rPr>
        <w:t>Artificial gratings used in nanotechnology — Description and measurement of dimensional quality parameters</w:t>
      </w:r>
      <w:r>
        <w:rPr>
          <w:rFonts w:hint="eastAsia"/>
          <w:kern w:val="21"/>
        </w:rPr>
        <w:t>)</w:t>
      </w:r>
    </w:p>
    <w:p w14:paraId="746064DD">
      <w:pPr>
        <w:ind w:firstLine="480"/>
      </w:pPr>
      <w:r>
        <w:rPr>
          <w:rFonts w:hint="eastAsia"/>
        </w:rPr>
        <w:t>注：凡是注明日期的引用文件，仅注日期的版本适用于本规范；凡是不注日期的引用文件，其最新版本（包括所有的修改单）适用于本规范。</w:t>
      </w:r>
    </w:p>
    <w:p w14:paraId="310A7569">
      <w:pPr>
        <w:pStyle w:val="2"/>
        <w:rPr>
          <w:szCs w:val="24"/>
        </w:rPr>
      </w:pPr>
      <w:bookmarkStart w:id="31" w:name="_Toc179358995"/>
      <w:bookmarkStart w:id="32" w:name="_Toc177550250"/>
      <w:r>
        <w:rPr>
          <w:szCs w:val="24"/>
        </w:rPr>
        <w:t xml:space="preserve">3 </w:t>
      </w:r>
      <w:r>
        <w:rPr>
          <w:rFonts w:hAnsi="黑体"/>
          <w:szCs w:val="24"/>
        </w:rPr>
        <w:t>概述</w:t>
      </w:r>
      <w:bookmarkEnd w:id="31"/>
      <w:bookmarkEnd w:id="32"/>
    </w:p>
    <w:p w14:paraId="5499F2DC">
      <w:pPr>
        <w:ind w:firstLine="480"/>
        <w:rPr>
          <w:rFonts w:hint="eastAsia" w:hAnsi="宋体"/>
          <w:kern w:val="0"/>
        </w:rPr>
      </w:pPr>
      <w:r>
        <w:rPr>
          <w:rFonts w:hint="eastAsia" w:hAnsi="宋体"/>
          <w:kern w:val="0"/>
        </w:rPr>
        <w:t>微纳线宽，是指微纳结构中线条两侧平均线边缘之间的距离，该尺寸一般被称为线宽（Line width）。微纳线宽是集成电路的关键尺寸量值，通常也被称为关键尺寸（Critical Dimension, CD），其量值的准确性对于芯片器件的性能影响巨大。其典型外形如图1(a)、图1(b)所示。</w:t>
      </w:r>
    </w:p>
    <w:p w14:paraId="53C6155B">
      <w:pPr>
        <w:ind w:firstLine="480"/>
      </w:pPr>
      <w:r>
        <w:rPr>
          <w:rFonts w:hint="eastAsia"/>
        </w:rPr>
        <w:t>微纳栅格，也被称作一维栅格，具有周期性等间距的特点，以相邻同侧周期性刻线边缘之间的距离或相邻周期性刻线几何结构中心之间的距离作为栅格尺寸，该尺寸一般被称作栅格间距（Pitch）。微纳栅格可用于光学显微镜分辨力、示值误差等项目的校准。其典型外形如图1(c)、图1(d)所示。</w:t>
      </w:r>
    </w:p>
    <w:p w14:paraId="202741E1">
      <w:pPr>
        <w:ind w:firstLine="480"/>
        <w:rPr>
          <w:rFonts w:hint="eastAsia" w:hAnsi="宋体"/>
        </w:rPr>
      </w:pPr>
    </w:p>
    <w:p w14:paraId="18974CAA">
      <w:pPr>
        <w:ind w:firstLine="480"/>
        <w:rPr>
          <w:rFonts w:hint="eastAsia" w:hAnsi="宋体"/>
        </w:rPr>
      </w:pPr>
    </w:p>
    <w:p w14:paraId="57B6FDE9">
      <w:pPr>
        <w:ind w:firstLine="480"/>
        <w:jc w:val="right"/>
        <w:rPr>
          <w:rFonts w:hint="eastAsia" w:hAnsi="宋体"/>
        </w:rPr>
      </w:pPr>
    </w:p>
    <w:p w14:paraId="4C100AD7">
      <w:pPr>
        <w:ind w:firstLine="480"/>
        <w:rPr>
          <w:rFonts w:hint="eastAsia" w:hAnsi="宋体"/>
        </w:rPr>
      </w:pPr>
    </w:p>
    <w:p w14:paraId="2D2B414A">
      <w:pPr>
        <w:pStyle w:val="64"/>
      </w:pPr>
      <w:r>
        <w:drawing>
          <wp:inline distT="0" distB="0" distL="0" distR="0">
            <wp:extent cx="3414395" cy="2978785"/>
            <wp:effectExtent l="0" t="0" r="0" b="0"/>
            <wp:docPr id="9306960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696016" name="图片 6"/>
                    <pic:cNvPicPr>
                      <a:picLocks noChangeAspect="1"/>
                    </pic:cNvPicPr>
                  </pic:nvPicPr>
                  <pic:blipFill>
                    <a:blip r:embed="rId21" cstate="print">
                      <a:extLst>
                        <a:ext uri="{28A0092B-C50C-407E-A947-70E740481C1C}">
                          <a14:useLocalDpi xmlns:a14="http://schemas.microsoft.com/office/drawing/2010/main" val="0"/>
                        </a:ext>
                      </a:extLst>
                    </a:blip>
                    <a:srcRect l="12012" t="-15" r="23520" b="15"/>
                    <a:stretch>
                      <a:fillRect/>
                    </a:stretch>
                  </pic:blipFill>
                  <pic:spPr>
                    <a:xfrm>
                      <a:off x="0" y="0"/>
                      <a:ext cx="3416860" cy="2981257"/>
                    </a:xfrm>
                    <a:prstGeom prst="rect">
                      <a:avLst/>
                    </a:prstGeom>
                    <a:ln>
                      <a:noFill/>
                    </a:ln>
                  </pic:spPr>
                </pic:pic>
              </a:graphicData>
            </a:graphic>
          </wp:inline>
        </w:drawing>
      </w:r>
    </w:p>
    <w:p w14:paraId="2FA8B8C6">
      <w:pPr>
        <w:pStyle w:val="60"/>
        <w:rPr>
          <w:rFonts w:hint="eastAsia"/>
        </w:rPr>
      </w:pPr>
      <w:r>
        <w:rPr>
          <w:rFonts w:hint="eastAsia"/>
        </w:rPr>
        <w:t xml:space="preserve">图1 </w:t>
      </w:r>
      <w:r>
        <w:t>微纳</w:t>
      </w:r>
      <w:r>
        <w:rPr>
          <w:rFonts w:hint="eastAsia"/>
        </w:rPr>
        <w:t>线宽/栅格外形示意图</w:t>
      </w:r>
    </w:p>
    <w:p w14:paraId="4F6EABB5">
      <w:pPr>
        <w:pStyle w:val="2"/>
        <w:rPr>
          <w:szCs w:val="24"/>
        </w:rPr>
      </w:pPr>
      <w:bookmarkStart w:id="33" w:name="_Toc179358996"/>
      <w:bookmarkStart w:id="34" w:name="_Toc177550251"/>
      <w:r>
        <w:rPr>
          <w:rFonts w:hint="eastAsia"/>
          <w:szCs w:val="24"/>
        </w:rPr>
        <w:t>4 计量特性</w:t>
      </w:r>
      <w:bookmarkEnd w:id="33"/>
      <w:bookmarkEnd w:id="34"/>
    </w:p>
    <w:p w14:paraId="77637C6C">
      <w:pPr>
        <w:pStyle w:val="3"/>
      </w:pPr>
      <w:bookmarkStart w:id="35" w:name="_Toc179358997"/>
      <w:r>
        <w:rPr>
          <w:rFonts w:hint="eastAsia"/>
        </w:rPr>
        <w:t>4.1 微纳线宽基本参数</w:t>
      </w:r>
      <w:bookmarkEnd w:id="35"/>
    </w:p>
    <w:p w14:paraId="16EB0502">
      <w:pPr>
        <w:pStyle w:val="4"/>
      </w:pPr>
      <w:bookmarkStart w:id="36" w:name="_Toc179358998"/>
      <w:r>
        <w:rPr>
          <w:rFonts w:hint="eastAsia"/>
        </w:rPr>
        <w:t>4.1.1 线宽</w:t>
      </w:r>
      <w:r>
        <w:rPr>
          <w:rFonts w:hint="eastAsia"/>
          <w:i/>
          <w:iCs/>
        </w:rPr>
        <w:t>W</w:t>
      </w:r>
      <w:bookmarkEnd w:id="36"/>
    </w:p>
    <w:p w14:paraId="124829ED">
      <w:pPr>
        <w:pStyle w:val="4"/>
        <w:rPr>
          <w:i/>
          <w:iCs/>
        </w:rPr>
      </w:pPr>
      <w:bookmarkStart w:id="37" w:name="_Toc179358999"/>
      <w:r>
        <w:rPr>
          <w:rFonts w:hint="eastAsia"/>
        </w:rPr>
        <w:t>4.1.2 线宽均匀性</w:t>
      </w:r>
      <w:r>
        <w:rPr>
          <w:rFonts w:hint="eastAsia"/>
          <w:i/>
          <w:iCs/>
        </w:rPr>
        <w:t>s</w:t>
      </w:r>
      <w:bookmarkEnd w:id="37"/>
    </w:p>
    <w:p w14:paraId="1BFCFF06">
      <w:pPr>
        <w:pStyle w:val="3"/>
      </w:pPr>
      <w:bookmarkStart w:id="38" w:name="_Toc179359000"/>
      <w:r>
        <w:rPr>
          <w:rFonts w:hint="eastAsia"/>
        </w:rPr>
        <w:t>4.2 微纳栅格基本参数</w:t>
      </w:r>
      <w:bookmarkEnd w:id="38"/>
    </w:p>
    <w:p w14:paraId="53D04C2A">
      <w:pPr>
        <w:pStyle w:val="4"/>
      </w:pPr>
      <w:bookmarkStart w:id="39" w:name="_Toc179359001"/>
      <w:r>
        <w:rPr>
          <w:rFonts w:hint="eastAsia"/>
        </w:rPr>
        <w:t>4.2.1 平均栅格间距</w:t>
      </w:r>
      <w:r>
        <w:rPr>
          <w:rFonts w:hint="eastAsia"/>
          <w:i/>
          <w:iCs/>
        </w:rPr>
        <w:t>P</w:t>
      </w:r>
      <w:bookmarkEnd w:id="39"/>
    </w:p>
    <w:p w14:paraId="351FB203">
      <w:pPr>
        <w:pStyle w:val="4"/>
      </w:pPr>
      <w:bookmarkStart w:id="40" w:name="_Toc179359002"/>
      <w:r>
        <w:rPr>
          <w:rFonts w:hint="eastAsia"/>
        </w:rPr>
        <w:t>4.2.2 栅格间距均匀性</w:t>
      </w:r>
      <w:r>
        <w:rPr>
          <w:rFonts w:hint="eastAsia"/>
          <w:i/>
          <w:iCs/>
        </w:rPr>
        <w:t>s</w:t>
      </w:r>
      <w:bookmarkEnd w:id="40"/>
    </w:p>
    <w:p w14:paraId="107A6925">
      <w:pPr>
        <w:pStyle w:val="2"/>
        <w:rPr>
          <w:szCs w:val="24"/>
        </w:rPr>
      </w:pPr>
      <w:bookmarkStart w:id="41" w:name="_Toc179359003"/>
      <w:bookmarkStart w:id="42" w:name="_Toc177550252"/>
      <w:r>
        <w:rPr>
          <w:rFonts w:hint="eastAsia"/>
          <w:szCs w:val="24"/>
        </w:rPr>
        <w:t>5</w:t>
      </w:r>
      <w:r>
        <w:rPr>
          <w:szCs w:val="24"/>
        </w:rPr>
        <w:t xml:space="preserve"> 校准条件</w:t>
      </w:r>
      <w:bookmarkEnd w:id="41"/>
      <w:bookmarkEnd w:id="42"/>
    </w:p>
    <w:p w14:paraId="43207766">
      <w:pPr>
        <w:pStyle w:val="3"/>
      </w:pPr>
      <w:bookmarkStart w:id="43" w:name="_Toc179359004"/>
      <w:r>
        <w:rPr>
          <w:rFonts w:hint="eastAsia"/>
        </w:rPr>
        <w:t>5.1 环境条件</w:t>
      </w:r>
      <w:bookmarkEnd w:id="43"/>
    </w:p>
    <w:p w14:paraId="4F915E6B">
      <w:pPr>
        <w:ind w:firstLine="480"/>
      </w:pPr>
      <w:r>
        <w:rPr>
          <w:rFonts w:hint="eastAsia"/>
        </w:rPr>
        <w:t>环境温度：（20±5）℃；相对湿度：不超过60%。</w:t>
      </w:r>
    </w:p>
    <w:p w14:paraId="16E00AF6">
      <w:pPr>
        <w:ind w:firstLine="480"/>
      </w:pPr>
      <w:r>
        <w:rPr>
          <w:rFonts w:hint="eastAsia"/>
        </w:rPr>
        <w:t>被测样板应与测仪器放在一起等温不少于1h。</w:t>
      </w:r>
    </w:p>
    <w:p w14:paraId="2C113BE9">
      <w:pPr>
        <w:ind w:firstLine="480"/>
      </w:pPr>
      <w:r>
        <w:t>校准室内应无影响校准的灰尘、振动和腐蚀性气体</w:t>
      </w:r>
      <w:r>
        <w:rPr>
          <w:rFonts w:hint="eastAsia"/>
        </w:rPr>
        <w:t>。</w:t>
      </w:r>
    </w:p>
    <w:p w14:paraId="0226FF5A">
      <w:pPr>
        <w:pStyle w:val="3"/>
      </w:pPr>
      <w:bookmarkStart w:id="44" w:name="_Toc179359005"/>
      <w:r>
        <w:rPr>
          <w:rFonts w:hint="eastAsia"/>
        </w:rPr>
        <w:t>5.2 测量标准及其他设备</w:t>
      </w:r>
      <w:bookmarkEnd w:id="44"/>
    </w:p>
    <w:p w14:paraId="684EFD3C">
      <w:pPr>
        <w:ind w:firstLine="480"/>
      </w:pPr>
      <w:r>
        <w:rPr>
          <w:rFonts w:hint="eastAsia"/>
        </w:rPr>
        <w:t>校准项目和校准用的设备见表1。</w:t>
      </w:r>
    </w:p>
    <w:p w14:paraId="0A89B949">
      <w:pPr>
        <w:ind w:firstLine="480"/>
      </w:pPr>
    </w:p>
    <w:p w14:paraId="6D8A9923">
      <w:pPr>
        <w:ind w:firstLine="480"/>
      </w:pPr>
    </w:p>
    <w:p w14:paraId="1F9289BA">
      <w:pPr>
        <w:ind w:firstLine="480"/>
      </w:pPr>
    </w:p>
    <w:p w14:paraId="3955E25B">
      <w:pPr>
        <w:pStyle w:val="60"/>
        <w:rPr>
          <w:rFonts w:hint="eastAsia"/>
        </w:rPr>
      </w:pPr>
      <w:r>
        <w:rPr>
          <w:rFonts w:hint="eastAsia"/>
        </w:rPr>
        <w:t>表1 校准项目和校准设备</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2624"/>
        <w:gridCol w:w="5927"/>
      </w:tblGrid>
      <w:tr w14:paraId="4472B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 w:type="pct"/>
            <w:shd w:val="clear" w:color="auto" w:fill="auto"/>
            <w:vAlign w:val="center"/>
          </w:tcPr>
          <w:p w14:paraId="2ED984B1">
            <w:pPr>
              <w:pStyle w:val="60"/>
              <w:rPr>
                <w:rFonts w:hint="eastAsia"/>
              </w:rPr>
            </w:pPr>
            <w:r>
              <w:t>序号</w:t>
            </w:r>
          </w:p>
        </w:tc>
        <w:tc>
          <w:tcPr>
            <w:tcW w:w="1413" w:type="pct"/>
            <w:shd w:val="clear" w:color="auto" w:fill="auto"/>
            <w:vAlign w:val="center"/>
          </w:tcPr>
          <w:p w14:paraId="69C446A7">
            <w:pPr>
              <w:pStyle w:val="60"/>
              <w:rPr>
                <w:rFonts w:hint="eastAsia"/>
              </w:rPr>
            </w:pPr>
            <w:r>
              <w:t>校准项目</w:t>
            </w:r>
          </w:p>
        </w:tc>
        <w:tc>
          <w:tcPr>
            <w:tcW w:w="3191" w:type="pct"/>
            <w:tcBorders>
              <w:top w:val="single" w:color="auto" w:sz="4" w:space="0"/>
              <w:bottom w:val="single" w:color="auto" w:sz="4" w:space="0"/>
              <w:right w:val="single" w:color="auto" w:sz="4" w:space="0"/>
            </w:tcBorders>
            <w:shd w:val="clear" w:color="auto" w:fill="auto"/>
            <w:vAlign w:val="center"/>
          </w:tcPr>
          <w:p w14:paraId="29D75208">
            <w:pPr>
              <w:pStyle w:val="60"/>
              <w:rPr>
                <w:rFonts w:hint="eastAsia"/>
              </w:rPr>
            </w:pPr>
            <w:r>
              <w:rPr>
                <w:rFonts w:hint="eastAsia"/>
              </w:rPr>
              <w:t>校准用设备</w:t>
            </w:r>
          </w:p>
        </w:tc>
      </w:tr>
      <w:tr w14:paraId="2DB46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 w:type="pct"/>
            <w:shd w:val="clear" w:color="auto" w:fill="auto"/>
            <w:vAlign w:val="center"/>
          </w:tcPr>
          <w:p w14:paraId="00C29BCF">
            <w:pPr>
              <w:pStyle w:val="60"/>
              <w:rPr>
                <w:rFonts w:hint="eastAsia"/>
              </w:rPr>
            </w:pPr>
            <w:bookmarkStart w:id="45" w:name="_Hlk178346546"/>
            <w:r>
              <w:t>1</w:t>
            </w:r>
          </w:p>
        </w:tc>
        <w:tc>
          <w:tcPr>
            <w:tcW w:w="1413" w:type="pct"/>
            <w:shd w:val="clear" w:color="auto" w:fill="auto"/>
            <w:vAlign w:val="center"/>
          </w:tcPr>
          <w:p w14:paraId="44E00DAB">
            <w:pPr>
              <w:pStyle w:val="60"/>
              <w:rPr>
                <w:rFonts w:hint="eastAsia"/>
              </w:rPr>
            </w:pPr>
            <w:r>
              <w:rPr>
                <w:rFonts w:hint="eastAsia"/>
              </w:rPr>
              <w:t>线宽</w:t>
            </w:r>
            <w:r>
              <w:rPr>
                <w:rFonts w:hint="eastAsia"/>
                <w:i/>
                <w:iCs/>
              </w:rPr>
              <w:t>W</w:t>
            </w:r>
          </w:p>
        </w:tc>
        <w:tc>
          <w:tcPr>
            <w:tcW w:w="3191" w:type="pct"/>
            <w:vMerge w:val="restart"/>
            <w:tcBorders>
              <w:top w:val="single" w:color="auto" w:sz="4" w:space="0"/>
              <w:right w:val="single" w:color="auto" w:sz="4" w:space="0"/>
            </w:tcBorders>
            <w:shd w:val="clear" w:color="auto" w:fill="auto"/>
            <w:vAlign w:val="center"/>
          </w:tcPr>
          <w:p w14:paraId="62793F2C">
            <w:pPr>
              <w:pStyle w:val="60"/>
              <w:rPr>
                <w:rFonts w:hint="eastAsia"/>
              </w:rPr>
            </w:pPr>
            <w:r>
              <w:rPr>
                <w:rFonts w:hint="eastAsia"/>
              </w:rPr>
              <w:t>紫外显微镜，分辨力≤100nm</w:t>
            </w:r>
          </w:p>
          <w:p w14:paraId="60796F6C">
            <w:pPr>
              <w:pStyle w:val="60"/>
              <w:rPr>
                <w:rFonts w:hint="eastAsia"/>
              </w:rPr>
            </w:pPr>
            <w:r>
              <w:rPr>
                <w:rFonts w:hint="eastAsia"/>
              </w:rPr>
              <w:t>500nm~500</w:t>
            </w:r>
            <w:r>
              <w:rPr>
                <w:rFonts w:hAnsi="Times New Roman"/>
              </w:rPr>
              <w:t>μ</w:t>
            </w:r>
            <w:r>
              <w:t>m</w:t>
            </w:r>
            <w:r>
              <w:rPr>
                <w:rFonts w:hint="eastAsia" w:ascii="宋体"/>
              </w:rPr>
              <w:t>高精度</w:t>
            </w:r>
            <w:r>
              <w:rPr>
                <w:rFonts w:hint="eastAsia"/>
              </w:rPr>
              <w:t>样板，</w:t>
            </w:r>
            <w:r>
              <w:rPr>
                <w:rFonts w:hint="eastAsia"/>
                <w:iCs/>
              </w:rPr>
              <w:t>MPE</w:t>
            </w:r>
            <w:r>
              <w:rPr>
                <w:rFonts w:hint="eastAsia"/>
              </w:rPr>
              <w:t>≤2%</w:t>
            </w:r>
            <w:r>
              <w:rPr>
                <w:rFonts w:hint="eastAsia"/>
                <w:i/>
                <w:iCs/>
              </w:rPr>
              <w:t>A</w:t>
            </w:r>
          </w:p>
        </w:tc>
      </w:tr>
      <w:tr w14:paraId="68361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 w:type="pct"/>
            <w:shd w:val="clear" w:color="auto" w:fill="auto"/>
            <w:vAlign w:val="center"/>
          </w:tcPr>
          <w:p w14:paraId="7CC9C4B9">
            <w:pPr>
              <w:pStyle w:val="60"/>
              <w:rPr>
                <w:rFonts w:hint="eastAsia"/>
              </w:rPr>
            </w:pPr>
            <w:r>
              <w:rPr>
                <w:rFonts w:hint="eastAsia"/>
              </w:rPr>
              <w:t>2</w:t>
            </w:r>
          </w:p>
        </w:tc>
        <w:tc>
          <w:tcPr>
            <w:tcW w:w="1413" w:type="pct"/>
            <w:shd w:val="clear" w:color="auto" w:fill="auto"/>
            <w:vAlign w:val="center"/>
          </w:tcPr>
          <w:p w14:paraId="638CF3B4">
            <w:pPr>
              <w:pStyle w:val="60"/>
              <w:rPr>
                <w:rFonts w:hint="eastAsia"/>
              </w:rPr>
            </w:pPr>
            <w:r>
              <w:rPr>
                <w:rFonts w:hint="eastAsia"/>
              </w:rPr>
              <w:t>线宽均匀性</w:t>
            </w:r>
            <w:r>
              <w:rPr>
                <w:rFonts w:hint="eastAsia"/>
                <w:i/>
                <w:iCs/>
              </w:rPr>
              <w:t>s</w:t>
            </w:r>
          </w:p>
        </w:tc>
        <w:tc>
          <w:tcPr>
            <w:tcW w:w="3191" w:type="pct"/>
            <w:vMerge w:val="continue"/>
            <w:tcBorders>
              <w:right w:val="single" w:color="auto" w:sz="4" w:space="0"/>
            </w:tcBorders>
            <w:shd w:val="clear" w:color="auto" w:fill="auto"/>
            <w:vAlign w:val="center"/>
          </w:tcPr>
          <w:p w14:paraId="316E1C07">
            <w:pPr>
              <w:pStyle w:val="60"/>
              <w:rPr>
                <w:rFonts w:hint="eastAsia"/>
              </w:rPr>
            </w:pPr>
          </w:p>
        </w:tc>
      </w:tr>
      <w:tr w14:paraId="4C452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 w:type="pct"/>
            <w:shd w:val="clear" w:color="auto" w:fill="auto"/>
            <w:vAlign w:val="center"/>
          </w:tcPr>
          <w:p w14:paraId="39D3999A">
            <w:pPr>
              <w:pStyle w:val="60"/>
              <w:rPr>
                <w:rFonts w:hint="eastAsia"/>
              </w:rPr>
            </w:pPr>
            <w:r>
              <w:rPr>
                <w:rFonts w:hint="eastAsia"/>
              </w:rPr>
              <w:t>3</w:t>
            </w:r>
          </w:p>
        </w:tc>
        <w:tc>
          <w:tcPr>
            <w:tcW w:w="1413" w:type="pct"/>
            <w:tcBorders>
              <w:bottom w:val="single" w:color="auto" w:sz="4" w:space="0"/>
            </w:tcBorders>
            <w:shd w:val="clear" w:color="auto" w:fill="auto"/>
            <w:vAlign w:val="center"/>
          </w:tcPr>
          <w:p w14:paraId="05B88171">
            <w:pPr>
              <w:pStyle w:val="60"/>
              <w:rPr>
                <w:rFonts w:hint="eastAsia"/>
                <w:color w:val="F79646" w:themeColor="accent6"/>
                <w14:textFill>
                  <w14:solidFill>
                    <w14:schemeClr w14:val="accent6"/>
                  </w14:solidFill>
                </w14:textFill>
              </w:rPr>
            </w:pPr>
            <w:r>
              <w:rPr>
                <w:rFonts w:hint="eastAsia"/>
              </w:rPr>
              <w:t>平均栅格间距</w:t>
            </w:r>
            <w:r>
              <w:rPr>
                <w:rFonts w:hint="eastAsia"/>
                <w:i/>
                <w:iCs/>
              </w:rPr>
              <w:t>P</w:t>
            </w:r>
          </w:p>
        </w:tc>
        <w:tc>
          <w:tcPr>
            <w:tcW w:w="3191" w:type="pct"/>
            <w:vMerge w:val="continue"/>
            <w:tcBorders>
              <w:right w:val="single" w:color="auto" w:sz="4" w:space="0"/>
            </w:tcBorders>
            <w:shd w:val="clear" w:color="auto" w:fill="auto"/>
            <w:vAlign w:val="center"/>
          </w:tcPr>
          <w:p w14:paraId="124A6D06">
            <w:pPr>
              <w:pStyle w:val="60"/>
              <w:rPr>
                <w:rFonts w:hint="eastAsia"/>
                <w:color w:val="F79646" w:themeColor="accent6"/>
                <w14:textFill>
                  <w14:solidFill>
                    <w14:schemeClr w14:val="accent6"/>
                  </w14:solidFill>
                </w14:textFill>
              </w:rPr>
            </w:pPr>
          </w:p>
        </w:tc>
      </w:tr>
      <w:tr w14:paraId="1C129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 w:type="pct"/>
            <w:shd w:val="clear" w:color="auto" w:fill="auto"/>
            <w:vAlign w:val="center"/>
          </w:tcPr>
          <w:p w14:paraId="15422DE1">
            <w:pPr>
              <w:pStyle w:val="60"/>
              <w:rPr>
                <w:rFonts w:hint="eastAsia"/>
              </w:rPr>
            </w:pPr>
            <w:r>
              <w:rPr>
                <w:rFonts w:hint="eastAsia"/>
              </w:rPr>
              <w:t>4</w:t>
            </w:r>
          </w:p>
        </w:tc>
        <w:tc>
          <w:tcPr>
            <w:tcW w:w="1413" w:type="pct"/>
            <w:shd w:val="clear" w:color="auto" w:fill="auto"/>
            <w:vAlign w:val="center"/>
          </w:tcPr>
          <w:p w14:paraId="26E6CF28">
            <w:pPr>
              <w:pStyle w:val="60"/>
              <w:rPr>
                <w:rFonts w:hint="eastAsia"/>
                <w:color w:val="F79646" w:themeColor="accent6"/>
                <w14:textFill>
                  <w14:solidFill>
                    <w14:schemeClr w14:val="accent6"/>
                  </w14:solidFill>
                </w14:textFill>
              </w:rPr>
            </w:pPr>
            <w:r>
              <w:rPr>
                <w:rFonts w:hint="eastAsia"/>
              </w:rPr>
              <w:t>栅格间距均匀性</w:t>
            </w:r>
            <w:r>
              <w:rPr>
                <w:rFonts w:hint="eastAsia"/>
                <w:i/>
                <w:iCs/>
              </w:rPr>
              <w:t>s</w:t>
            </w:r>
          </w:p>
        </w:tc>
        <w:tc>
          <w:tcPr>
            <w:tcW w:w="3191" w:type="pct"/>
            <w:vMerge w:val="continue"/>
            <w:tcBorders>
              <w:right w:val="single" w:color="auto" w:sz="4" w:space="0"/>
            </w:tcBorders>
            <w:shd w:val="clear" w:color="auto" w:fill="auto"/>
            <w:vAlign w:val="center"/>
          </w:tcPr>
          <w:p w14:paraId="7FA5F0C4">
            <w:pPr>
              <w:pStyle w:val="60"/>
              <w:rPr>
                <w:rFonts w:hint="eastAsia"/>
                <w:color w:val="F79646" w:themeColor="accent6"/>
                <w14:textFill>
                  <w14:solidFill>
                    <w14:schemeClr w14:val="accent6"/>
                  </w14:solidFill>
                </w14:textFill>
              </w:rPr>
            </w:pPr>
          </w:p>
        </w:tc>
      </w:tr>
      <w:bookmarkEnd w:id="45"/>
    </w:tbl>
    <w:p w14:paraId="44C0FC05">
      <w:pPr>
        <w:pStyle w:val="64"/>
        <w:jc w:val="left"/>
        <w:rPr>
          <w:rFonts w:hint="eastAsia" w:ascii="仿宋" w:hAnsi="仿宋" w:eastAsia="仿宋"/>
          <w:i/>
          <w:iCs/>
          <w:sz w:val="21"/>
        </w:rPr>
      </w:pPr>
      <w:bookmarkStart w:id="46" w:name="_Toc177550253"/>
      <w:r>
        <w:rPr>
          <w:rFonts w:hint="eastAsia" w:ascii="仿宋" w:hAnsi="仿宋" w:eastAsia="仿宋"/>
          <w:sz w:val="21"/>
        </w:rPr>
        <w:t>注：</w:t>
      </w:r>
      <w:r>
        <w:rPr>
          <w:rFonts w:eastAsia="仿宋"/>
          <w:i/>
          <w:iCs/>
          <w:sz w:val="21"/>
        </w:rPr>
        <w:t>A</w:t>
      </w:r>
      <w:r>
        <w:rPr>
          <w:rFonts w:hint="eastAsia" w:ascii="仿宋" w:hAnsi="仿宋" w:eastAsia="仿宋"/>
          <w:sz w:val="21"/>
        </w:rPr>
        <w:t>代表平均栅格间距</w:t>
      </w:r>
      <w:r>
        <w:rPr>
          <w:rFonts w:eastAsia="仿宋"/>
          <w:i/>
          <w:iCs/>
          <w:sz w:val="21"/>
        </w:rPr>
        <w:t>P</w:t>
      </w:r>
      <w:r>
        <w:rPr>
          <w:rFonts w:hint="eastAsia" w:ascii="仿宋" w:hAnsi="仿宋" w:eastAsia="仿宋"/>
          <w:sz w:val="21"/>
        </w:rPr>
        <w:t>或线宽</w:t>
      </w:r>
      <w:r>
        <w:rPr>
          <w:rFonts w:eastAsia="仿宋"/>
          <w:i/>
          <w:iCs/>
          <w:sz w:val="21"/>
        </w:rPr>
        <w:t>W</w:t>
      </w:r>
      <w:r>
        <w:rPr>
          <w:rFonts w:hint="eastAsia" w:ascii="仿宋" w:hAnsi="仿宋" w:eastAsia="仿宋"/>
          <w:i/>
          <w:iCs/>
          <w:sz w:val="21"/>
        </w:rPr>
        <w:t>。</w:t>
      </w:r>
    </w:p>
    <w:p w14:paraId="039A5B9F">
      <w:pPr>
        <w:pStyle w:val="2"/>
        <w:rPr>
          <w:szCs w:val="24"/>
        </w:rPr>
      </w:pPr>
      <w:bookmarkStart w:id="47" w:name="_Toc179359006"/>
      <w:r>
        <w:rPr>
          <w:szCs w:val="24"/>
        </w:rPr>
        <w:t>6</w:t>
      </w:r>
      <w:r>
        <w:rPr>
          <w:rFonts w:hint="eastAsia"/>
          <w:szCs w:val="24"/>
        </w:rPr>
        <w:t xml:space="preserve"> 校准项目和校准方法</w:t>
      </w:r>
      <w:bookmarkEnd w:id="46"/>
      <w:bookmarkEnd w:id="47"/>
    </w:p>
    <w:p w14:paraId="0277B706">
      <w:pPr>
        <w:pStyle w:val="3"/>
      </w:pPr>
      <w:bookmarkStart w:id="48" w:name="_Toc179359007"/>
      <w:r>
        <w:rPr>
          <w:rFonts w:hint="eastAsia"/>
        </w:rPr>
        <w:t>6.1 微纳线宽校准办法</w:t>
      </w:r>
      <w:bookmarkEnd w:id="48"/>
    </w:p>
    <w:p w14:paraId="45B5237E">
      <w:pPr>
        <w:pStyle w:val="4"/>
      </w:pPr>
      <w:bookmarkStart w:id="49" w:name="_Toc179359008"/>
      <w:r>
        <w:rPr>
          <w:rFonts w:hint="eastAsia"/>
        </w:rPr>
        <w:t>6.1.1 线宽</w:t>
      </w:r>
      <w:bookmarkEnd w:id="49"/>
    </w:p>
    <w:p w14:paraId="511F6919">
      <w:pPr>
        <w:ind w:firstLine="480"/>
      </w:pPr>
      <w:r>
        <w:rPr>
          <w:rFonts w:hint="eastAsia"/>
        </w:rPr>
        <w:t>在紫外显微镜工作台上放置微纳线宽样板，调焦至成像清晰，并细微调整样块位置，使样块成像于影像屏幕的中间合适位置，选取样板有效测量区域，以均匀覆盖测量区域为原则，从上至下测量10次，并记录数据。如图1所示，</w:t>
      </w:r>
      <w:r>
        <w:rPr>
          <w:rFonts w:hint="eastAsia"/>
          <w:i/>
          <w:iCs/>
        </w:rPr>
        <w:t>W</w:t>
      </w:r>
      <w:r>
        <w:rPr>
          <w:rFonts w:hint="eastAsia"/>
        </w:rPr>
        <w:t>为纳米线宽样板线宽尺寸实测值。</w:t>
      </w:r>
    </w:p>
    <w:p w14:paraId="3D0FCA23">
      <w:pPr>
        <w:ind w:firstLine="480"/>
        <w:jc w:val="center"/>
      </w:pPr>
      <w:r>
        <w:drawing>
          <wp:inline distT="0" distB="0" distL="0" distR="0">
            <wp:extent cx="2152015" cy="2856230"/>
            <wp:effectExtent l="0" t="0" r="635" b="1270"/>
            <wp:docPr id="24584013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840135" name="图片 8"/>
                    <pic:cNvPicPr>
                      <a:picLocks noChangeAspect="1"/>
                    </pic:cNvPicPr>
                  </pic:nvPicPr>
                  <pic:blipFill>
                    <a:blip r:embed="rId22" cstate="print">
                      <a:extLst>
                        <a:ext uri="{28A0092B-C50C-407E-A947-70E740481C1C}">
                          <a14:useLocalDpi xmlns:a14="http://schemas.microsoft.com/office/drawing/2010/main" val="0"/>
                        </a:ext>
                      </a:extLst>
                    </a:blip>
                    <a:srcRect l="40690" r="16930"/>
                    <a:stretch>
                      <a:fillRect/>
                    </a:stretch>
                  </pic:blipFill>
                  <pic:spPr>
                    <a:xfrm>
                      <a:off x="0" y="0"/>
                      <a:ext cx="2156384" cy="2862162"/>
                    </a:xfrm>
                    <a:prstGeom prst="rect">
                      <a:avLst/>
                    </a:prstGeom>
                    <a:ln>
                      <a:noFill/>
                    </a:ln>
                  </pic:spPr>
                </pic:pic>
              </a:graphicData>
            </a:graphic>
          </wp:inline>
        </w:drawing>
      </w:r>
    </w:p>
    <w:p w14:paraId="21CA6354">
      <w:pPr>
        <w:pStyle w:val="60"/>
        <w:rPr>
          <w:rFonts w:hint="eastAsia"/>
        </w:rPr>
      </w:pPr>
      <w:r>
        <w:rPr>
          <w:rFonts w:hint="eastAsia"/>
        </w:rPr>
        <w:t>图1 微纳线宽测量区域示意图</w:t>
      </w:r>
    </w:p>
    <w:p w14:paraId="6C515359">
      <w:pPr>
        <w:ind w:firstLine="480"/>
      </w:pPr>
      <w:r>
        <w:rPr>
          <w:rFonts w:hint="eastAsia"/>
        </w:rPr>
        <w:t>按照公式（1），计算10次测量数据的平均值，作为纳米线宽标准样板线宽偏差的实测值。</w:t>
      </w:r>
    </w:p>
    <w:p w14:paraId="06F76244">
      <w:pPr>
        <w:tabs>
          <w:tab w:val="right" w:pos="10104"/>
          <w:tab w:val="clear" w:pos="10103"/>
        </w:tabs>
        <w:ind w:firstLine="0" w:firstLineChars="0"/>
        <w:rPr>
          <w:iCs/>
        </w:rPr>
      </w:pPr>
      <w:r>
        <w:rPr>
          <w:iCs/>
        </w:rPr>
        <w:tab/>
      </w:r>
      <m:oMath>
        <m:r>
          <m:rPr/>
          <w:rPr>
            <w:rFonts w:ascii="Cambria Math" w:hAnsi="Cambria Math"/>
          </w:rPr>
          <m:t>W=</m:t>
        </m:r>
        <m:f>
          <m:fPr>
            <m:ctrlPr>
              <w:rPr>
                <w:rFonts w:ascii="Cambria Math" w:hAnsi="Cambria Math"/>
                <w:i/>
                <w:iCs/>
              </w:rPr>
            </m:ctrlPr>
          </m:fPr>
          <m:num>
            <m:nary>
              <m:naryPr>
                <m:chr m:val="∑"/>
                <m:limLoc m:val="undOvr"/>
                <m:ctrlPr>
                  <w:rPr>
                    <w:rFonts w:ascii="Cambria Math" w:hAnsi="Cambria Math"/>
                    <w:i/>
                    <w:iCs/>
                  </w:rPr>
                </m:ctrlPr>
              </m:naryPr>
              <m:sub>
                <m:r>
                  <m:rPr/>
                  <w:rPr>
                    <w:rFonts w:hint="eastAsia" w:ascii="Cambria Math" w:hAnsi="Cambria Math"/>
                  </w:rPr>
                  <m:t>i</m:t>
                </m:r>
                <m:r>
                  <m:rPr/>
                  <w:rPr>
                    <w:rFonts w:ascii="Cambria Math" w:hAnsi="Cambria Math"/>
                  </w:rPr>
                  <m:t>=1</m:t>
                </m:r>
                <m:ctrlPr>
                  <w:rPr>
                    <w:rFonts w:ascii="Cambria Math" w:hAnsi="Cambria Math"/>
                    <w:i/>
                    <w:iCs/>
                  </w:rPr>
                </m:ctrlPr>
              </m:sub>
              <m:sup>
                <m:r>
                  <m:rPr/>
                  <w:rPr>
                    <w:rFonts w:hint="eastAsia" w:ascii="Cambria Math" w:hAnsi="Cambria Math"/>
                  </w:rPr>
                  <m:t>n</m:t>
                </m:r>
                <m:ctrlPr>
                  <w:rPr>
                    <w:rFonts w:ascii="Cambria Math" w:hAnsi="Cambria Math"/>
                    <w:i/>
                    <w:iCs/>
                  </w:rPr>
                </m:ctrlPr>
              </m:sup>
              <m:e>
                <m:sSub>
                  <m:sSubPr>
                    <m:ctrlPr>
                      <w:rPr>
                        <w:rFonts w:ascii="Cambria Math" w:hAnsi="Cambria Math"/>
                        <w:i/>
                        <w:iCs/>
                      </w:rPr>
                    </m:ctrlPr>
                  </m:sSubPr>
                  <m:e>
                    <m:r>
                      <m:rPr/>
                      <w:rPr>
                        <w:rFonts w:ascii="Cambria Math" w:hAnsi="Cambria Math"/>
                      </w:rPr>
                      <m:t>W</m:t>
                    </m:r>
                    <m:ctrlPr>
                      <w:rPr>
                        <w:rFonts w:ascii="Cambria Math" w:hAnsi="Cambria Math"/>
                        <w:i/>
                        <w:iCs/>
                      </w:rPr>
                    </m:ctrlPr>
                  </m:e>
                  <m:sub>
                    <m:r>
                      <m:rPr/>
                      <w:rPr>
                        <w:rFonts w:hint="eastAsia" w:ascii="Cambria Math" w:hAnsi="Cambria Math"/>
                      </w:rPr>
                      <m:t>i</m:t>
                    </m:r>
                    <m:ctrlPr>
                      <w:rPr>
                        <w:rFonts w:ascii="Cambria Math" w:hAnsi="Cambria Math"/>
                        <w:i/>
                        <w:iCs/>
                      </w:rPr>
                    </m:ctrlPr>
                  </m:sub>
                </m:sSub>
                <m:ctrlPr>
                  <w:rPr>
                    <w:rFonts w:ascii="Cambria Math" w:hAnsi="Cambria Math"/>
                    <w:i/>
                    <w:iCs/>
                  </w:rPr>
                </m:ctrlPr>
              </m:e>
            </m:nary>
            <m:ctrlPr>
              <w:rPr>
                <w:rFonts w:ascii="Cambria Math" w:hAnsi="Cambria Math"/>
                <w:i/>
                <w:iCs/>
              </w:rPr>
            </m:ctrlPr>
          </m:num>
          <m:den>
            <m:r>
              <m:rPr/>
              <w:rPr>
                <w:rFonts w:hint="eastAsia" w:ascii="Cambria Math" w:hAnsi="Cambria Math"/>
              </w:rPr>
              <m:t>n</m:t>
            </m:r>
            <m:ctrlPr>
              <w:rPr>
                <w:rFonts w:ascii="Cambria Math" w:hAnsi="Cambria Math"/>
                <w:i/>
                <w:iCs/>
              </w:rPr>
            </m:ctrlPr>
          </m:den>
        </m:f>
      </m:oMath>
      <w:r>
        <w:rPr>
          <w:iCs/>
        </w:rPr>
        <w:tab/>
      </w:r>
      <w:r>
        <w:rPr>
          <w:rFonts w:hint="eastAsia"/>
          <w:iCs/>
        </w:rPr>
        <w:t>（1）</w:t>
      </w:r>
    </w:p>
    <w:p w14:paraId="5B817197">
      <w:pPr>
        <w:ind w:firstLine="480"/>
      </w:pPr>
      <w:r>
        <w:rPr>
          <w:rFonts w:hint="eastAsia"/>
        </w:rPr>
        <w:t>式中：</w:t>
      </w:r>
    </w:p>
    <w:p w14:paraId="0FEF921D">
      <w:pPr>
        <w:ind w:firstLine="948" w:firstLineChars="395"/>
      </w:pPr>
      <w:r>
        <w:rPr>
          <w:rFonts w:hint="eastAsia"/>
          <w:i/>
          <w:iCs/>
        </w:rPr>
        <w:t>W</w:t>
      </w:r>
      <w:r>
        <w:rPr>
          <w:rFonts w:hint="eastAsia"/>
        </w:rPr>
        <w:t>—纳米线宽样板线宽尺寸实测值，单位为纳米（nm）；</w:t>
      </w:r>
    </w:p>
    <w:p w14:paraId="74C5175B">
      <w:pPr>
        <w:ind w:firstLine="960" w:firstLineChars="400"/>
      </w:pPr>
      <w:r>
        <w:rPr>
          <w:rFonts w:hint="eastAsia"/>
          <w:i/>
          <w:iCs/>
        </w:rPr>
        <w:t>W</w:t>
      </w:r>
      <w:r>
        <w:rPr>
          <w:rFonts w:hint="eastAsia"/>
          <w:i/>
          <w:iCs/>
          <w:vertAlign w:val="subscript"/>
        </w:rPr>
        <w:t>i</w:t>
      </w:r>
      <w:bookmarkStart w:id="50" w:name="OLE_LINK1"/>
      <w:r>
        <w:rPr>
          <w:rFonts w:hint="eastAsia"/>
        </w:rPr>
        <w:t>—</w:t>
      </w:r>
      <w:bookmarkEnd w:id="50"/>
      <w:r>
        <w:rPr>
          <w:rFonts w:hint="eastAsia"/>
        </w:rPr>
        <w:t>第i次测量结果，单位为纳米（nm）；</w:t>
      </w:r>
    </w:p>
    <w:p w14:paraId="481E006F">
      <w:pPr>
        <w:ind w:firstLine="960" w:firstLineChars="400"/>
      </w:pPr>
      <w:r>
        <w:rPr>
          <w:rFonts w:hint="eastAsia"/>
        </w:rPr>
        <w:t>n—重复测量次数，取n=10。</w:t>
      </w:r>
    </w:p>
    <w:p w14:paraId="42037E43">
      <w:pPr>
        <w:pStyle w:val="4"/>
      </w:pPr>
      <w:bookmarkStart w:id="51" w:name="_Toc179359009"/>
      <w:r>
        <w:rPr>
          <w:rFonts w:hint="eastAsia"/>
        </w:rPr>
        <w:t>6.1.2 线宽均匀性</w:t>
      </w:r>
      <w:bookmarkEnd w:id="51"/>
    </w:p>
    <w:p w14:paraId="1B0FA550">
      <w:pPr>
        <w:ind w:firstLine="480"/>
      </w:pPr>
      <w:r>
        <w:rPr>
          <w:rFonts w:hint="eastAsia" w:hAnsi="Cambria Math"/>
        </w:rPr>
        <w:t>在微纳线宽样板的有效测量区域中，</w:t>
      </w:r>
      <w:r>
        <w:rPr>
          <w:rFonts w:hint="eastAsia"/>
        </w:rPr>
        <w:t>以均匀覆盖测量区域为原则，</w:t>
      </w:r>
      <w:r>
        <w:rPr>
          <w:rFonts w:hint="eastAsia" w:hAnsi="Cambria Math"/>
        </w:rPr>
        <w:t>均匀选取3个位置进行线宽量值的测量</w:t>
      </w:r>
      <w:r>
        <w:rPr>
          <w:rFonts w:hint="eastAsia"/>
        </w:rPr>
        <w:t>，如图2。</w:t>
      </w:r>
    </w:p>
    <w:p w14:paraId="4245A0CA">
      <w:pPr>
        <w:ind w:firstLine="480"/>
      </w:pPr>
    </w:p>
    <w:p w14:paraId="04363E1A">
      <w:pPr>
        <w:ind w:firstLine="480"/>
        <w:jc w:val="center"/>
      </w:pPr>
      <w:r>
        <w:rPr>
          <w:rFonts w:hint="eastAsia"/>
        </w:rPr>
        <w:drawing>
          <wp:inline distT="0" distB="0" distL="0" distR="0">
            <wp:extent cx="1857375" cy="2941955"/>
            <wp:effectExtent l="0" t="0" r="9525" b="0"/>
            <wp:docPr id="145230787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307875" name="图片 7"/>
                    <pic:cNvPicPr>
                      <a:picLocks noChangeAspect="1"/>
                    </pic:cNvPicPr>
                  </pic:nvPicPr>
                  <pic:blipFill>
                    <a:blip r:embed="rId23" cstate="print">
                      <a:extLst>
                        <a:ext uri="{28A0092B-C50C-407E-A947-70E740481C1C}">
                          <a14:useLocalDpi xmlns:a14="http://schemas.microsoft.com/office/drawing/2010/main" val="0"/>
                        </a:ext>
                      </a:extLst>
                    </a:blip>
                    <a:srcRect l="32778" r="31707"/>
                    <a:stretch>
                      <a:fillRect/>
                    </a:stretch>
                  </pic:blipFill>
                  <pic:spPr>
                    <a:xfrm>
                      <a:off x="0" y="0"/>
                      <a:ext cx="1867012" cy="2957121"/>
                    </a:xfrm>
                    <a:prstGeom prst="rect">
                      <a:avLst/>
                    </a:prstGeom>
                    <a:ln>
                      <a:noFill/>
                    </a:ln>
                  </pic:spPr>
                </pic:pic>
              </a:graphicData>
            </a:graphic>
          </wp:inline>
        </w:drawing>
      </w:r>
    </w:p>
    <w:p w14:paraId="2FF92152">
      <w:pPr>
        <w:pStyle w:val="60"/>
        <w:rPr>
          <w:rFonts w:hint="eastAsia"/>
        </w:rPr>
      </w:pPr>
      <w:r>
        <w:rPr>
          <w:rFonts w:hint="eastAsia"/>
        </w:rPr>
        <w:t>图2 微纳线宽均匀性测量区域示意图</w:t>
      </w:r>
    </w:p>
    <w:p w14:paraId="03801146">
      <w:pPr>
        <w:ind w:firstLine="480"/>
      </w:pPr>
      <w:r>
        <w:rPr>
          <w:rFonts w:hint="eastAsia"/>
        </w:rPr>
        <w:t>在每一个位置，按6.1.1规定的测量方法对微纳线宽进行测量。按式（2）计算微纳线宽样板的线宽均匀性。</w:t>
      </w:r>
    </w:p>
    <w:p w14:paraId="63234CAC">
      <w:pPr>
        <w:ind w:firstLine="0" w:firstLineChars="0"/>
        <w:rPr>
          <w:rFonts w:hAnsi="Cambria Math"/>
          <w:iCs/>
        </w:rPr>
      </w:pPr>
      <w:r>
        <w:rPr>
          <w:iCs/>
        </w:rPr>
        <w:tab/>
      </w:r>
      <m:oMath>
        <m:r>
          <m:rPr/>
          <w:rPr>
            <w:rFonts w:hint="eastAsia" w:ascii="Cambria Math" w:hAnsi="Cambria Math"/>
          </w:rPr>
          <m:t>s</m:t>
        </m:r>
        <m:r>
          <m:rPr/>
          <w:rPr>
            <w:rFonts w:ascii="Cambria Math" w:hAnsi="Cambria Math"/>
          </w:rPr>
          <m:t>=</m:t>
        </m:r>
        <m:rad>
          <m:radPr>
            <m:degHide m:val="1"/>
            <m:ctrlPr>
              <w:rPr>
                <w:rFonts w:ascii="Cambria Math" w:hAnsi="Cambria Math"/>
                <w:i/>
              </w:rPr>
            </m:ctrlPr>
          </m:radPr>
          <m:deg>
            <m:ctrlPr>
              <w:rPr>
                <w:rFonts w:ascii="Cambria Math" w:hAnsi="Cambria Math"/>
                <w:i/>
              </w:rPr>
            </m:ctrlPr>
          </m:deg>
          <m:e>
            <m:f>
              <m:fPr>
                <m:ctrlPr>
                  <w:rPr>
                    <w:rFonts w:ascii="Cambria Math" w:hAnsi="Cambria Math"/>
                    <w:i/>
                  </w:rPr>
                </m:ctrlPr>
              </m:fPr>
              <m:num>
                <m:nary>
                  <m:naryPr>
                    <m:chr m:val="∑"/>
                    <m:limLoc m:val="undOvr"/>
                    <m:ctrlPr>
                      <w:rPr>
                        <w:rFonts w:ascii="Cambria Math" w:hAnsi="Cambria Math"/>
                        <w:i/>
                      </w:rPr>
                    </m:ctrlPr>
                  </m:naryPr>
                  <m:sub>
                    <m:r>
                      <m:rPr/>
                      <w:rPr>
                        <w:rFonts w:hint="eastAsia" w:ascii="Cambria Math" w:hAnsi="Cambria Math"/>
                      </w:rPr>
                      <m:t>i</m:t>
                    </m:r>
                    <m:r>
                      <m:rPr/>
                      <w:rPr>
                        <w:rFonts w:ascii="Cambria Math" w:hAnsi="Cambria Math"/>
                      </w:rPr>
                      <m:t>=1</m:t>
                    </m:r>
                    <m:ctrlPr>
                      <w:rPr>
                        <w:rFonts w:ascii="Cambria Math" w:hAnsi="Cambria Math"/>
                        <w:i/>
                      </w:rPr>
                    </m:ctrlPr>
                  </m:sub>
                  <m:sup>
                    <m:r>
                      <m:rPr/>
                      <w:rPr>
                        <w:rFonts w:hint="eastAsia" w:ascii="Cambria Math" w:hAnsi="Cambria Math"/>
                      </w:rPr>
                      <m:t>n</m:t>
                    </m:r>
                    <m:ctrlPr>
                      <w:rPr>
                        <w:rFonts w:ascii="Cambria Math" w:hAnsi="Cambria Math"/>
                        <w:i/>
                      </w:rPr>
                    </m:ctrlPr>
                  </m:sup>
                  <m:e>
                    <m:sSup>
                      <m:sSupPr>
                        <m:ctrlPr>
                          <w:rPr>
                            <w:rFonts w:ascii="Cambria Math" w:hAnsi="Cambria Math"/>
                            <w:i/>
                          </w:rPr>
                        </m:ctrlPr>
                      </m:sSupPr>
                      <m:e>
                        <m:sSub>
                          <m:sSubPr>
                            <m:ctrlPr>
                              <w:rPr>
                                <w:rFonts w:ascii="Cambria Math" w:hAnsi="Cambria Math"/>
                                <w:i/>
                              </w:rPr>
                            </m:ctrlPr>
                          </m:sSubPr>
                          <m:e>
                            <m:r>
                              <m:rPr/>
                              <w:rPr>
                                <w:rFonts w:hint="eastAsia" w:ascii="Cambria Math" w:hAnsi="Cambria Math"/>
                              </w:rPr>
                              <m:t>（</m:t>
                            </m:r>
                            <m:r>
                              <m:rPr/>
                              <w:rPr>
                                <w:rFonts w:ascii="Cambria Math" w:hAnsi="Cambria Math"/>
                              </w:rPr>
                              <m:t>W</m:t>
                            </m:r>
                            <m:ctrlPr>
                              <w:rPr>
                                <w:rFonts w:ascii="Cambria Math" w:hAnsi="Cambria Math"/>
                                <w:i/>
                              </w:rPr>
                            </m:ctrlPr>
                          </m:e>
                          <m:sub>
                            <m:r>
                              <m:rPr/>
                              <w:rPr>
                                <w:rFonts w:hint="eastAsia" w:ascii="Cambria Math" w:hAnsi="Cambria Math"/>
                              </w:rPr>
                              <m:t>i</m:t>
                            </m:r>
                            <m:ctrlPr>
                              <w:rPr>
                                <w:rFonts w:ascii="Cambria Math" w:hAnsi="Cambria Math"/>
                                <w:i/>
                              </w:rPr>
                            </m:ctrlPr>
                          </m:sub>
                        </m:sSub>
                        <m:r>
                          <m:rPr/>
                          <w:rPr>
                            <w:rFonts w:ascii="Cambria Math" w:hAnsi="Cambria Math"/>
                          </w:rPr>
                          <m:t>−</m:t>
                        </m:r>
                        <m:acc>
                          <m:accPr>
                            <m:chr m:val="̅"/>
                            <m:ctrlPr>
                              <w:rPr>
                                <w:rFonts w:ascii="Cambria Math" w:hAnsi="Cambria Math"/>
                                <w:i/>
                              </w:rPr>
                            </m:ctrlPr>
                          </m:accPr>
                          <m:e>
                            <m:r>
                              <m:rPr/>
                              <w:rPr>
                                <w:rFonts w:ascii="Cambria Math" w:hAnsi="Cambria Math"/>
                              </w:rPr>
                              <m:t>W</m:t>
                            </m:r>
                            <m:ctrlPr>
                              <w:rPr>
                                <w:rFonts w:ascii="Cambria Math" w:hAnsi="Cambria Math"/>
                                <w:i/>
                              </w:rPr>
                            </m:ctrlPr>
                          </m:e>
                        </m:acc>
                        <m:r>
                          <m:rPr/>
                          <w:rPr>
                            <w:rFonts w:hint="eastAsia" w:ascii="Cambria Math" w:hAnsi="Cambria Math"/>
                          </w:rPr>
                          <m:t>）</m:t>
                        </m:r>
                        <m:ctrlPr>
                          <w:rPr>
                            <w:rFonts w:ascii="Cambria Math" w:hAnsi="Cambria Math"/>
                            <w:i/>
                          </w:rPr>
                        </m:ctrlPr>
                      </m:e>
                      <m:sup>
                        <m:r>
                          <m:rPr/>
                          <w:rPr>
                            <w:rFonts w:ascii="Cambria Math" w:hAnsi="Cambria Math"/>
                          </w:rPr>
                          <m:t>2</m:t>
                        </m:r>
                        <m:ctrlPr>
                          <w:rPr>
                            <w:rFonts w:ascii="Cambria Math" w:hAnsi="Cambria Math"/>
                            <w:i/>
                          </w:rPr>
                        </m:ctrlPr>
                      </m:sup>
                    </m:sSup>
                    <m:ctrlPr>
                      <w:rPr>
                        <w:rFonts w:ascii="Cambria Math" w:hAnsi="Cambria Math"/>
                        <w:i/>
                      </w:rPr>
                    </m:ctrlPr>
                  </m:e>
                </m:nary>
                <m:ctrlPr>
                  <w:rPr>
                    <w:rFonts w:ascii="Cambria Math" w:hAnsi="Cambria Math"/>
                    <w:i/>
                  </w:rPr>
                </m:ctrlPr>
              </m:num>
              <m:den>
                <m:r>
                  <m:rPr/>
                  <w:rPr>
                    <w:rFonts w:hint="eastAsia" w:ascii="Cambria Math" w:hAnsi="Cambria Math"/>
                  </w:rPr>
                  <m:t>n</m:t>
                </m:r>
                <m:r>
                  <m:rPr/>
                  <w:rPr>
                    <w:rFonts w:ascii="Cambria Math" w:hAnsi="Cambria Math" w:cs="Cambria Math"/>
                  </w:rPr>
                  <m:t>−1</m:t>
                </m:r>
                <m:ctrlPr>
                  <w:rPr>
                    <w:rFonts w:ascii="Cambria Math" w:hAnsi="Cambria Math"/>
                    <w:i/>
                  </w:rPr>
                </m:ctrlPr>
              </m:den>
            </m:f>
            <m:ctrlPr>
              <w:rPr>
                <w:rFonts w:ascii="Cambria Math" w:hAnsi="Cambria Math"/>
                <w:i/>
              </w:rPr>
            </m:ctrlPr>
          </m:e>
        </m:rad>
      </m:oMath>
      <w:r>
        <w:rPr>
          <w:iCs/>
        </w:rPr>
        <w:tab/>
      </w:r>
      <w:r>
        <w:rPr>
          <w:rFonts w:hint="eastAsia" w:hAnsi="Cambria Math"/>
          <w:iCs/>
        </w:rPr>
        <w:t>（2）</w:t>
      </w:r>
    </w:p>
    <w:p w14:paraId="5C413CB2">
      <w:pPr>
        <w:ind w:firstLine="480"/>
      </w:pPr>
      <w:r>
        <w:rPr>
          <w:rFonts w:hint="eastAsia"/>
        </w:rPr>
        <w:t>式中：</w:t>
      </w:r>
    </w:p>
    <w:p w14:paraId="4DC26D2D">
      <w:pPr>
        <w:ind w:firstLine="480"/>
      </w:pPr>
      <w:r>
        <w:rPr>
          <w:rFonts w:hint="eastAsia"/>
          <w:i/>
          <w:iCs/>
        </w:rPr>
        <w:t>s</w:t>
      </w:r>
      <w:r>
        <w:rPr>
          <w:rFonts w:hint="eastAsia"/>
        </w:rPr>
        <w:t>—微纳线宽样板线宽均匀性，单位为纳米（nm）；</w:t>
      </w:r>
    </w:p>
    <w:p w14:paraId="36E3427F">
      <w:pPr>
        <w:ind w:firstLine="480"/>
      </w:pPr>
      <w:r>
        <w:rPr>
          <w:rFonts w:hint="eastAsia"/>
          <w:i/>
          <w:iCs/>
        </w:rPr>
        <w:t>W</w:t>
      </w:r>
      <w:r>
        <w:rPr>
          <w:rFonts w:hint="eastAsia"/>
          <w:i/>
          <w:iCs/>
          <w:vertAlign w:val="subscript"/>
        </w:rPr>
        <w:t>i</w:t>
      </w:r>
      <w:r>
        <w:rPr>
          <w:rFonts w:hint="eastAsia"/>
        </w:rPr>
        <w:t>—第i个位置的线宽实测值，单位为纳米（nm）；</w:t>
      </w:r>
    </w:p>
    <w:p w14:paraId="477AD23C">
      <w:pPr>
        <w:ind w:firstLine="480"/>
      </w:pPr>
      <m:oMath>
        <m:acc>
          <m:accPr>
            <m:chr m:val="̅"/>
            <m:ctrlPr>
              <w:rPr>
                <w:rFonts w:ascii="Cambria Math" w:hAnsi="Cambria Math"/>
                <w:i/>
              </w:rPr>
            </m:ctrlPr>
          </m:accPr>
          <m:e>
            <m:r>
              <m:rPr/>
              <w:rPr>
                <w:rFonts w:ascii="Cambria Math" w:hAnsi="Cambria Math"/>
              </w:rPr>
              <m:t>W</m:t>
            </m:r>
            <m:ctrlPr>
              <w:rPr>
                <w:rFonts w:ascii="Cambria Math" w:hAnsi="Cambria Math"/>
                <w:i/>
              </w:rPr>
            </m:ctrlPr>
          </m:e>
        </m:acc>
      </m:oMath>
      <w:r>
        <w:rPr>
          <w:rFonts w:hint="eastAsia"/>
        </w:rPr>
        <w:t>—线宽平均值，单位为纳米（nm）。</w:t>
      </w:r>
    </w:p>
    <w:p w14:paraId="34F0519D">
      <w:pPr>
        <w:ind w:firstLine="0" w:firstLineChars="0"/>
      </w:pPr>
    </w:p>
    <w:p w14:paraId="328DC3E0">
      <w:pPr>
        <w:pStyle w:val="3"/>
      </w:pPr>
      <w:bookmarkStart w:id="52" w:name="_Toc179359010"/>
      <w:r>
        <w:rPr>
          <w:rFonts w:hint="eastAsia"/>
        </w:rPr>
        <w:t>6.2 微纳栅格校准办法</w:t>
      </w:r>
      <w:bookmarkEnd w:id="52"/>
    </w:p>
    <w:p w14:paraId="53B9A6B9">
      <w:pPr>
        <w:pStyle w:val="4"/>
      </w:pPr>
      <w:bookmarkStart w:id="53" w:name="_Toc179359011"/>
      <w:r>
        <w:rPr>
          <w:rFonts w:hint="eastAsia"/>
        </w:rPr>
        <w:t>6.2.1 平均栅格间距</w:t>
      </w:r>
      <w:bookmarkEnd w:id="53"/>
    </w:p>
    <w:p w14:paraId="143DD762">
      <w:pPr>
        <w:ind w:firstLine="480"/>
      </w:pPr>
      <w:r>
        <w:rPr>
          <w:rFonts w:hint="eastAsia"/>
        </w:rPr>
        <w:t>使用紫外光学显微镜对高精度微纳栅格进行测量。显微镜选择适当放大倍率，使栅格成像多于6个周期并占据视场一半以上。选择样板有效测量区域内均匀分布的5个测量位分别进行测量，每个测量位选择6个周期的栅格间距。结果的平均值作为微纳栅格样板平均栅格间距的测量结果，如图3。</w:t>
      </w:r>
    </w:p>
    <w:p w14:paraId="237C8BB7">
      <w:pPr>
        <w:ind w:firstLine="480"/>
        <w:jc w:val="center"/>
      </w:pPr>
      <w:r>
        <w:drawing>
          <wp:inline distT="0" distB="0" distL="0" distR="0">
            <wp:extent cx="5427980" cy="3239135"/>
            <wp:effectExtent l="0" t="0" r="1270" b="0"/>
            <wp:docPr id="18315067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506717" name="图片 6"/>
                    <pic:cNvPicPr>
                      <a:picLocks noChangeAspect="1"/>
                    </pic:cNvPicPr>
                  </pic:nvPicPr>
                  <pic:blipFill>
                    <a:blip r:embed="rId24">
                      <a:extLst>
                        <a:ext uri="{28A0092B-C50C-407E-A947-70E740481C1C}">
                          <a14:useLocalDpi xmlns:a14="http://schemas.microsoft.com/office/drawing/2010/main" val="0"/>
                        </a:ext>
                      </a:extLst>
                    </a:blip>
                    <a:srcRect l="5728"/>
                    <a:stretch>
                      <a:fillRect/>
                    </a:stretch>
                  </pic:blipFill>
                  <pic:spPr>
                    <a:xfrm>
                      <a:off x="0" y="0"/>
                      <a:ext cx="5429513" cy="3239689"/>
                    </a:xfrm>
                    <a:prstGeom prst="rect">
                      <a:avLst/>
                    </a:prstGeom>
                    <a:ln>
                      <a:noFill/>
                    </a:ln>
                  </pic:spPr>
                </pic:pic>
              </a:graphicData>
            </a:graphic>
          </wp:inline>
        </w:drawing>
      </w:r>
    </w:p>
    <w:p w14:paraId="7C08BF66">
      <w:pPr>
        <w:pStyle w:val="60"/>
        <w:rPr>
          <w:rFonts w:hint="eastAsia"/>
        </w:rPr>
      </w:pPr>
      <w:r>
        <w:rPr>
          <w:rFonts w:hint="eastAsia"/>
        </w:rPr>
        <w:t>图3 微纳栅格测量示意图</w:t>
      </w:r>
    </w:p>
    <w:p w14:paraId="3CF4397B">
      <w:pPr>
        <w:ind w:firstLine="480"/>
      </w:pPr>
      <w:r>
        <w:rPr>
          <w:rFonts w:hint="eastAsia"/>
        </w:rPr>
        <w:t>平均栅格间距测量值按公式（3）计算：</w:t>
      </w:r>
    </w:p>
    <w:p w14:paraId="22FEFD66">
      <w:pPr>
        <w:ind w:firstLine="0" w:firstLineChars="0"/>
      </w:pPr>
      <w:r>
        <w:tab/>
      </w:r>
      <m:oMath>
        <m:r>
          <m:rPr/>
          <w:rPr>
            <w:rFonts w:ascii="Cambria Math" w:hAnsi="Cambria Math"/>
          </w:rPr>
          <m:t>P=</m:t>
        </m:r>
        <m:f>
          <m:fPr>
            <m:ctrlPr>
              <w:rPr>
                <w:rFonts w:ascii="Cambria Math" w:hAnsi="Cambria Math"/>
                <w:i/>
              </w:rPr>
            </m:ctrlPr>
          </m:fPr>
          <m:num>
            <m:nary>
              <m:naryPr>
                <m:chr m:val="∑"/>
                <m:limLoc m:val="undOvr"/>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m</m:t>
                </m:r>
                <m:ctrlPr>
                  <w:rPr>
                    <w:rFonts w:ascii="Cambria Math" w:hAnsi="Cambria Math"/>
                    <w:i/>
                  </w:rPr>
                </m:ctrlPr>
              </m:sup>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num>
          <m:den>
            <m:r>
              <m:rPr/>
              <w:rPr>
                <w:rFonts w:ascii="Cambria Math" w:hAnsi="Cambria Math"/>
              </w:rPr>
              <m:t>m×</m:t>
            </m:r>
            <m:r>
              <m:rPr/>
              <w:rPr>
                <w:rFonts w:hint="eastAsia" w:ascii="Cambria Math" w:hAnsi="Cambria Math"/>
              </w:rPr>
              <m:t>n</m:t>
            </m:r>
            <m:ctrlPr>
              <w:rPr>
                <w:rFonts w:ascii="Cambria Math" w:hAnsi="Cambria Math"/>
                <w:i/>
              </w:rPr>
            </m:ctrlPr>
          </m:den>
        </m:f>
      </m:oMath>
      <w:r>
        <w:tab/>
      </w:r>
      <w:r>
        <w:rPr>
          <w:rFonts w:hint="eastAsia"/>
        </w:rPr>
        <w:t>（3）</w:t>
      </w:r>
    </w:p>
    <w:p w14:paraId="53FF3A46">
      <w:pPr>
        <w:ind w:right="840" w:firstLine="480"/>
        <w:jc w:val="left"/>
      </w:pPr>
      <w:r>
        <w:rPr>
          <w:rFonts w:hint="eastAsia"/>
        </w:rPr>
        <w:t>式中：</w:t>
      </w:r>
      <m:oMath>
        <m:r>
          <m:rPr/>
          <w:rPr>
            <w:rFonts w:ascii="Cambria Math" w:hAnsi="Cambria Math"/>
          </w:rPr>
          <m:t>P</m:t>
        </m:r>
      </m:oMath>
      <w:r>
        <w:rPr>
          <w:rFonts w:hint="eastAsia" w:hAnsi="Cambria Math"/>
        </w:rPr>
        <w:t>—</w:t>
      </w:r>
      <w:r>
        <w:rPr>
          <w:rFonts w:hint="eastAsia"/>
        </w:rPr>
        <w:t>平均栅格间隔,单位为纳米（nm）；</w:t>
      </w:r>
    </w:p>
    <w:p w14:paraId="499D5943">
      <w:pPr>
        <w:ind w:right="840" w:firstLine="1200" w:firstLineChars="500"/>
        <w:jc w:val="left"/>
      </w:pP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hint="eastAsia" w:ascii="Cambria Math" w:hAnsi="Cambria Math"/>
              </w:rPr>
              <m:t>i</m:t>
            </m:r>
            <m:ctrlPr>
              <w:rPr>
                <w:rFonts w:ascii="Cambria Math" w:hAnsi="Cambria Math"/>
                <w:i/>
              </w:rPr>
            </m:ctrlPr>
          </m:sub>
        </m:sSub>
      </m:oMath>
      <w:r>
        <w:rPr>
          <w:rFonts w:hint="eastAsia" w:hAnsi="Cambria Math"/>
        </w:rPr>
        <w:t>—栅格间距单次测量值，单位为纳米（nm）；</w:t>
      </w:r>
    </w:p>
    <w:p w14:paraId="6FD5516A">
      <w:pPr>
        <w:ind w:right="840" w:firstLine="1200" w:firstLineChars="500"/>
        <w:jc w:val="left"/>
        <w:rPr>
          <w:rFonts w:hAnsi="Cambria Math"/>
        </w:rPr>
      </w:pPr>
      <w:r>
        <w:rPr>
          <w:rFonts w:hint="eastAsia" w:hAnsi="Cambria Math"/>
        </w:rPr>
        <w:t>m—重复测量次,此处m=5；</w:t>
      </w:r>
    </w:p>
    <w:p w14:paraId="0C340ECD">
      <w:pPr>
        <w:ind w:right="840" w:firstLine="1200" w:firstLineChars="500"/>
        <w:jc w:val="left"/>
        <w:rPr>
          <w:rFonts w:hAnsi="Cambria Math"/>
        </w:rPr>
      </w:pPr>
      <w:r>
        <w:rPr>
          <w:rFonts w:hint="eastAsia" w:hAnsi="Cambria Math"/>
        </w:rPr>
        <w:t>n—选区的周期数，此处n=6。</w:t>
      </w:r>
    </w:p>
    <w:p w14:paraId="442877AF">
      <w:pPr>
        <w:pStyle w:val="4"/>
      </w:pPr>
      <w:bookmarkStart w:id="54" w:name="_Toc179359012"/>
      <w:r>
        <w:rPr>
          <w:rFonts w:hint="eastAsia"/>
        </w:rPr>
        <w:t>6.2.2 栅格间距均匀性</w:t>
      </w:r>
      <w:bookmarkEnd w:id="54"/>
    </w:p>
    <w:p w14:paraId="4D08ABA4">
      <w:pPr>
        <w:ind w:firstLine="480"/>
      </w:pPr>
      <w:r>
        <w:rPr>
          <w:rFonts w:hint="eastAsia"/>
        </w:rPr>
        <w:t>在测量区域中，以均匀分布为原则，选取九个有效位置作为考核区域，如图4所示。</w:t>
      </w:r>
    </w:p>
    <w:p w14:paraId="4461CE52">
      <w:pPr>
        <w:ind w:firstLine="480"/>
        <w:jc w:val="center"/>
      </w:pPr>
      <w:r>
        <w:drawing>
          <wp:inline distT="0" distB="0" distL="0" distR="0">
            <wp:extent cx="2372360" cy="2327275"/>
            <wp:effectExtent l="0" t="0" r="8890" b="0"/>
            <wp:docPr id="178838034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380347" name="图片 7"/>
                    <pic:cNvPicPr>
                      <a:picLocks noChangeAspect="1"/>
                    </pic:cNvPicPr>
                  </pic:nvPicPr>
                  <pic:blipFill>
                    <a:blip r:embed="rId25" cstate="print">
                      <a:extLst>
                        <a:ext uri="{28A0092B-C50C-407E-A947-70E740481C1C}">
                          <a14:useLocalDpi xmlns:a14="http://schemas.microsoft.com/office/drawing/2010/main" val="0"/>
                        </a:ext>
                      </a:extLst>
                    </a:blip>
                    <a:srcRect l="30717" t="8811" r="26251" b="16155"/>
                    <a:stretch>
                      <a:fillRect/>
                    </a:stretch>
                  </pic:blipFill>
                  <pic:spPr>
                    <a:xfrm>
                      <a:off x="0" y="0"/>
                      <a:ext cx="2407506" cy="2361508"/>
                    </a:xfrm>
                    <a:prstGeom prst="rect">
                      <a:avLst/>
                    </a:prstGeom>
                    <a:ln>
                      <a:noFill/>
                    </a:ln>
                  </pic:spPr>
                </pic:pic>
              </a:graphicData>
            </a:graphic>
          </wp:inline>
        </w:drawing>
      </w:r>
    </w:p>
    <w:p w14:paraId="5F348C6F">
      <w:pPr>
        <w:pStyle w:val="60"/>
        <w:rPr>
          <w:rFonts w:hint="eastAsia"/>
        </w:rPr>
      </w:pPr>
      <w:r>
        <w:rPr>
          <w:rFonts w:hint="eastAsia"/>
        </w:rPr>
        <w:t>图4 微纳栅格均匀性测量位置示意图</w:t>
      </w:r>
    </w:p>
    <w:p w14:paraId="5F844AAA">
      <w:pPr>
        <w:ind w:firstLine="480"/>
      </w:pPr>
      <w:r>
        <w:rPr>
          <w:rFonts w:hint="eastAsia"/>
        </w:rPr>
        <w:t>在每一个考核区域的有效测量区域中，按6.2.1规定的测量方法对微纳栅格的栅格间距进行测量。计算公式如下：</w:t>
      </w:r>
    </w:p>
    <w:p w14:paraId="713150A5">
      <w:pPr>
        <w:ind w:firstLine="0" w:firstLineChars="0"/>
        <w:rPr>
          <w:rFonts w:hAnsi="Cambria Math"/>
        </w:rPr>
      </w:pPr>
      <w:r>
        <w:tab/>
      </w:r>
      <m:oMath>
        <m:r>
          <m:rPr/>
          <w:rPr>
            <w:rFonts w:ascii="Cambria Math" w:hAnsi="Cambria Math"/>
          </w:rPr>
          <m:t>s=</m:t>
        </m:r>
        <m:rad>
          <m:radPr>
            <m:degHide m:val="1"/>
            <m:ctrlPr>
              <w:rPr>
                <w:rFonts w:ascii="Cambria Math" w:hAnsi="Cambria Math"/>
                <w:i/>
              </w:rPr>
            </m:ctrlPr>
          </m:radPr>
          <m:deg>
            <m:ctrlPr>
              <w:rPr>
                <w:rFonts w:ascii="Cambria Math" w:hAnsi="Cambria Math"/>
                <w:i/>
              </w:rPr>
            </m:ctrlPr>
          </m:deg>
          <m:e>
            <m:f>
              <m:fPr>
                <m:ctrlPr>
                  <w:rPr>
                    <w:rFonts w:ascii="Cambria Math" w:hAnsi="Cambria Math"/>
                    <w:i/>
                  </w:rPr>
                </m:ctrlPr>
              </m:fPr>
              <m:num>
                <m:nary>
                  <m:naryPr>
                    <m:chr m:val="∑"/>
                    <m:limLoc m:val="undOvr"/>
                    <m:ctrlPr>
                      <w:rPr>
                        <w:rFonts w:ascii="Cambria Math" w:hAnsi="Cambria Math"/>
                        <w:i/>
                      </w:rPr>
                    </m:ctrlPr>
                  </m:naryPr>
                  <m:sub>
                    <m:r>
                      <m:rPr/>
                      <w:rPr>
                        <w:rFonts w:hint="eastAsia" w:ascii="Cambria Math" w:hAnsi="Cambria Math"/>
                      </w:rPr>
                      <m:t>i</m:t>
                    </m:r>
                    <m:r>
                      <m:rPr/>
                      <w:rPr>
                        <w:rFonts w:ascii="Cambria Math" w:hAnsi="Cambria Math"/>
                      </w:rPr>
                      <m:t>=1</m:t>
                    </m:r>
                    <m:ctrlPr>
                      <w:rPr>
                        <w:rFonts w:ascii="Cambria Math" w:hAnsi="Cambria Math"/>
                        <w:i/>
                      </w:rPr>
                    </m:ctrlPr>
                  </m:sub>
                  <m:sup>
                    <m:r>
                      <m:rPr/>
                      <w:rPr>
                        <w:rFonts w:ascii="Cambria Math" w:hAnsi="Cambria Math"/>
                      </w:rPr>
                      <m:t>n</m:t>
                    </m:r>
                    <m:ctrlPr>
                      <w:rPr>
                        <w:rFonts w:ascii="Cambria Math" w:hAnsi="Cambria Math"/>
                        <w:i/>
                      </w:rPr>
                    </m:ctrlP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acc>
                              <m:accPr>
                                <m:chr m:val="̅"/>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d>
                        <m:ctrlPr>
                          <w:rPr>
                            <w:rFonts w:ascii="Cambria Math" w:hAnsi="Cambria Math"/>
                            <w:i/>
                          </w:rPr>
                        </m:ctrlPr>
                      </m:e>
                      <m:sup>
                        <m:r>
                          <m:rPr/>
                          <w:rPr>
                            <w:rFonts w:ascii="Cambria Math" w:hAnsi="Cambria Math"/>
                          </w:rPr>
                          <m:t>2</m:t>
                        </m:r>
                        <m:ctrlPr>
                          <w:rPr>
                            <w:rFonts w:ascii="Cambria Math" w:hAnsi="Cambria Math"/>
                            <w:i/>
                          </w:rPr>
                        </m:ctrlPr>
                      </m:sup>
                    </m:sSup>
                    <m:ctrlPr>
                      <w:rPr>
                        <w:rFonts w:ascii="Cambria Math" w:hAnsi="Cambria Math"/>
                        <w:i/>
                      </w:rPr>
                    </m:ctrlPr>
                  </m:e>
                </m:nary>
                <m:ctrlPr>
                  <w:rPr>
                    <w:rFonts w:ascii="Cambria Math" w:hAnsi="Cambria Math"/>
                    <w:i/>
                  </w:rPr>
                </m:ctrlPr>
              </m:num>
              <m:den>
                <m:r>
                  <m:rPr/>
                  <w:rPr>
                    <w:rFonts w:ascii="Cambria Math" w:hAnsi="Cambria Math"/>
                  </w:rPr>
                  <m:t>n−1</m:t>
                </m:r>
                <m:ctrlPr>
                  <w:rPr>
                    <w:rFonts w:ascii="Cambria Math" w:hAnsi="Cambria Math"/>
                    <w:i/>
                  </w:rPr>
                </m:ctrlPr>
              </m:den>
            </m:f>
            <m:ctrlPr>
              <w:rPr>
                <w:rFonts w:ascii="Cambria Math" w:hAnsi="Cambria Math"/>
                <w:i/>
              </w:rPr>
            </m:ctrlPr>
          </m:e>
        </m:rad>
      </m:oMath>
      <w:r>
        <w:tab/>
      </w:r>
      <w:r>
        <w:rPr>
          <w:rFonts w:hint="eastAsia" w:hAnsi="Cambria Math"/>
        </w:rPr>
        <w:t>(4)</w:t>
      </w:r>
    </w:p>
    <w:p w14:paraId="0BEFB192">
      <w:pPr>
        <w:ind w:firstLine="480"/>
        <w:rPr>
          <w:rFonts w:hAnsi="Cambria Math"/>
        </w:rPr>
      </w:pPr>
      <w:r>
        <w:rPr>
          <w:rFonts w:hint="eastAsia" w:hAnsi="Cambria Math"/>
        </w:rPr>
        <w:t>式中：</w:t>
      </w:r>
    </w:p>
    <w:p w14:paraId="057BE99C">
      <w:pPr>
        <w:ind w:firstLine="480"/>
        <w:rPr>
          <w:rFonts w:hAnsi="Cambria Math"/>
        </w:rPr>
      </w:pPr>
      <w:r>
        <w:rPr>
          <w:rFonts w:hint="eastAsia" w:hAnsi="Cambria Math"/>
        </w:rPr>
        <w:t xml:space="preserve">     </w:t>
      </w:r>
      <w:r>
        <w:rPr>
          <w:rFonts w:hint="eastAsia" w:hAnsi="Cambria Math"/>
          <w:i/>
          <w:iCs/>
        </w:rPr>
        <w:t>s</w:t>
      </w:r>
      <w:r>
        <w:rPr>
          <w:rFonts w:hint="eastAsia" w:hAnsi="Cambria Math"/>
        </w:rPr>
        <w:t>—微纳栅格间距均匀性；</w:t>
      </w:r>
    </w:p>
    <w:p w14:paraId="7DBDC8A8">
      <w:pPr>
        <w:ind w:firstLine="480"/>
        <w:rPr>
          <w:rFonts w:hAnsi="Cambria Math"/>
        </w:rPr>
      </w:pPr>
      <w:r>
        <w:rPr>
          <w:rFonts w:hint="eastAsia" w:hAnsi="Cambria Math"/>
        </w:rPr>
        <w:t xml:space="preserve">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w:rPr>
                <w:rFonts w:ascii="Cambria Math" w:hAnsi="Cambria Math"/>
              </w:rPr>
              <m:t>i</m:t>
            </m:r>
            <m:ctrlPr>
              <w:rPr>
                <w:rFonts w:ascii="Cambria Math" w:hAnsi="Cambria Math"/>
                <w:i/>
                <w:iCs/>
              </w:rPr>
            </m:ctrlPr>
          </m:sub>
        </m:sSub>
      </m:oMath>
      <w:r>
        <w:rPr>
          <w:rFonts w:hint="eastAsia" w:hAnsi="Cambria Math"/>
        </w:rPr>
        <w:t>—每条线对应测得的栅格间距；</w:t>
      </w:r>
    </w:p>
    <w:p w14:paraId="74C7BDB4">
      <w:pPr>
        <w:ind w:firstLine="480"/>
        <w:rPr>
          <w:rFonts w:hAnsi="Cambria Math"/>
        </w:rPr>
      </w:pPr>
      <w:r>
        <w:rPr>
          <w:rFonts w:hint="eastAsia" w:hAnsi="Cambria Math"/>
        </w:rPr>
        <w:t xml:space="preserve">     </w:t>
      </w:r>
      <m:oMath>
        <m:acc>
          <m:accPr>
            <m:chr m:val="̅"/>
            <m:ctrlPr>
              <w:rPr>
                <w:rFonts w:ascii="Cambria Math" w:hAnsi="Cambria Math"/>
                <w:i/>
                <w:iCs/>
              </w:rPr>
            </m:ctrlPr>
          </m:accPr>
          <m:e>
            <m:r>
              <m:rPr/>
              <w:rPr>
                <w:rFonts w:ascii="Cambria Math" w:hAnsi="Cambria Math"/>
              </w:rPr>
              <m:t>P</m:t>
            </m:r>
            <m:ctrlPr>
              <w:rPr>
                <w:rFonts w:ascii="Cambria Math" w:hAnsi="Cambria Math"/>
                <w:i/>
                <w:iCs/>
              </w:rPr>
            </m:ctrlPr>
          </m:e>
        </m:acc>
      </m:oMath>
      <w:r>
        <w:rPr>
          <w:rFonts w:hint="eastAsia" w:hAnsi="Cambria Math"/>
        </w:rPr>
        <w:t>—</w:t>
      </w:r>
      <w:r>
        <w:rPr>
          <w:rFonts w:hint="eastAsia"/>
        </w:rPr>
        <w:t>平均栅格间距；</w:t>
      </w:r>
    </w:p>
    <w:p w14:paraId="2DC59927">
      <w:pPr>
        <w:ind w:firstLine="480"/>
        <w:rPr>
          <w:rFonts w:hAnsi="Cambria Math"/>
        </w:rPr>
      </w:pPr>
      <w:r>
        <w:rPr>
          <w:rFonts w:hint="eastAsia" w:hAnsi="Cambria Math"/>
        </w:rPr>
        <w:t xml:space="preserve">     n—所选测量线数。</w:t>
      </w:r>
    </w:p>
    <w:p w14:paraId="3F7A4A75">
      <w:pPr>
        <w:pStyle w:val="2"/>
        <w:rPr>
          <w:szCs w:val="24"/>
        </w:rPr>
      </w:pPr>
      <w:bookmarkStart w:id="55" w:name="_Toc177550254"/>
      <w:bookmarkStart w:id="56" w:name="_Toc179359013"/>
      <w:r>
        <w:rPr>
          <w:szCs w:val="24"/>
        </w:rPr>
        <w:t>7 校准结果的表达</w:t>
      </w:r>
      <w:bookmarkEnd w:id="55"/>
      <w:bookmarkEnd w:id="56"/>
    </w:p>
    <w:p w14:paraId="78258BE6">
      <w:pPr>
        <w:tabs>
          <w:tab w:val="left" w:pos="540"/>
        </w:tabs>
        <w:autoSpaceDE w:val="0"/>
        <w:autoSpaceDN w:val="0"/>
        <w:adjustRightInd w:val="0"/>
        <w:ind w:firstLine="480"/>
        <w:rPr>
          <w:rFonts w:hint="eastAsia" w:ascii="宋体" w:hAnsi="宋体" w:cs="宋体"/>
          <w:color w:val="FF0000"/>
        </w:rPr>
      </w:pPr>
      <w:bookmarkStart w:id="57" w:name="_Toc177550255"/>
      <w:r>
        <w:rPr>
          <w:rFonts w:hint="eastAsia"/>
        </w:rPr>
        <w:t>对微纳线宽/栅格进行校准后，出具校准证书，并提供校准结果的测量不确定度。</w:t>
      </w:r>
      <w:r>
        <w:t>校准证书包括的信息应符合</w:t>
      </w:r>
      <w:r>
        <w:rPr>
          <w:color w:val="000000"/>
        </w:rPr>
        <w:t>JJF 1071</w:t>
      </w:r>
      <w:r>
        <w:t>的要求</w:t>
      </w:r>
      <w:r>
        <w:rPr>
          <w:rFonts w:hint="eastAsia"/>
        </w:rPr>
        <w:t>，具体内容见附录A</w:t>
      </w:r>
      <w:r>
        <w:t>。</w:t>
      </w:r>
      <w:r>
        <w:rPr>
          <w:rFonts w:hint="eastAsia"/>
        </w:rPr>
        <w:t>测量不确定度评定方法见附录B、附录C。</w:t>
      </w:r>
    </w:p>
    <w:p w14:paraId="4811043C">
      <w:pPr>
        <w:pStyle w:val="2"/>
        <w:spacing w:before="163" w:beforeLines="50" w:after="163" w:afterLines="50"/>
        <w:rPr>
          <w:szCs w:val="24"/>
        </w:rPr>
      </w:pPr>
      <w:bookmarkStart w:id="58" w:name="_Toc179359014"/>
      <w:r>
        <w:rPr>
          <w:rFonts w:hint="eastAsia"/>
          <w:szCs w:val="24"/>
        </w:rPr>
        <w:t>8 复校时间间隔</w:t>
      </w:r>
      <w:bookmarkEnd w:id="57"/>
      <w:bookmarkEnd w:id="58"/>
    </w:p>
    <w:p w14:paraId="0FB16255">
      <w:pPr>
        <w:widowControl/>
        <w:ind w:firstLine="480"/>
        <w:jc w:val="left"/>
        <w:rPr>
          <w:rFonts w:ascii="Arial" w:hAnsi="Arial" w:cs="Arial"/>
        </w:rPr>
      </w:pPr>
      <w:r>
        <w:rPr>
          <w:rFonts w:hint="eastAsia"/>
        </w:rPr>
        <w:t>样板</w:t>
      </w:r>
      <w:r>
        <w:rPr>
          <w:rFonts w:hint="eastAsia" w:ascii="宋体" w:hAnsi="宋体" w:cs="宋体"/>
          <w:lang w:val="zh-CN"/>
        </w:rPr>
        <w:t>的校准周期间隔可根据用户使用情况自行确定，建议校准周期间隔不超过1年。</w:t>
      </w:r>
      <w:r>
        <w:rPr>
          <w:rFonts w:ascii="Arial" w:hAnsi="Arial" w:cs="Arial"/>
        </w:rPr>
        <w:br w:type="page"/>
      </w:r>
    </w:p>
    <w:p w14:paraId="6AF18DAF">
      <w:pPr>
        <w:pStyle w:val="2"/>
        <w:ind w:left="2380" w:hanging="2380" w:hangingChars="850"/>
        <w:rPr>
          <w:sz w:val="28"/>
          <w:szCs w:val="28"/>
        </w:rPr>
      </w:pPr>
      <w:bookmarkStart w:id="59" w:name="_Toc177550256"/>
      <w:bookmarkStart w:id="60" w:name="_Toc179359015"/>
      <w:r>
        <w:rPr>
          <w:sz w:val="28"/>
          <w:szCs w:val="28"/>
        </w:rPr>
        <w:t>附录A</w:t>
      </w:r>
      <w:bookmarkEnd w:id="59"/>
      <w:r>
        <w:rPr>
          <w:rFonts w:hint="eastAsia"/>
          <w:sz w:val="28"/>
          <w:szCs w:val="28"/>
        </w:rPr>
        <w:t xml:space="preserve"> </w:t>
      </w:r>
    </w:p>
    <w:p w14:paraId="7898541F">
      <w:pPr>
        <w:pStyle w:val="2"/>
        <w:ind w:left="2380" w:hanging="2380" w:hangingChars="850"/>
        <w:jc w:val="center"/>
        <w:rPr>
          <w:sz w:val="28"/>
          <w:szCs w:val="28"/>
        </w:rPr>
      </w:pPr>
      <w:r>
        <w:rPr>
          <w:rFonts w:hint="eastAsia" w:cs="黑体"/>
          <w:sz w:val="28"/>
          <w:szCs w:val="28"/>
        </w:rPr>
        <w:t>校 准 证 书 内 容</w:t>
      </w:r>
      <w:bookmarkEnd w:id="60"/>
    </w:p>
    <w:p w14:paraId="43180251">
      <w:pPr>
        <w:pStyle w:val="54"/>
      </w:pPr>
      <w:r>
        <w:rPr>
          <w:rFonts w:hint="eastAsia"/>
        </w:rPr>
        <w:t>A.1 校准证书应包括以下内容</w:t>
      </w:r>
    </w:p>
    <w:p w14:paraId="260536BA">
      <w:pPr>
        <w:ind w:firstLine="480"/>
        <w:rPr>
          <w:bCs/>
          <w:szCs w:val="32"/>
        </w:rPr>
      </w:pPr>
      <w:r>
        <w:rPr>
          <w:rFonts w:hint="eastAsia"/>
          <w:bCs/>
          <w:szCs w:val="32"/>
        </w:rPr>
        <w:t>1</w:t>
      </w:r>
      <w:r>
        <w:rPr>
          <w:bCs/>
          <w:szCs w:val="32"/>
        </w:rPr>
        <w:t>.</w:t>
      </w:r>
      <w:r>
        <w:rPr>
          <w:rFonts w:hint="eastAsia"/>
          <w:bCs/>
          <w:szCs w:val="32"/>
        </w:rPr>
        <w:t>标题：校准证书；</w:t>
      </w:r>
    </w:p>
    <w:p w14:paraId="3111498D">
      <w:pPr>
        <w:ind w:firstLine="480"/>
        <w:rPr>
          <w:bCs/>
          <w:szCs w:val="32"/>
        </w:rPr>
      </w:pPr>
      <w:r>
        <w:rPr>
          <w:rFonts w:hint="eastAsia"/>
          <w:bCs/>
          <w:szCs w:val="32"/>
        </w:rPr>
        <w:t>2</w:t>
      </w:r>
      <w:r>
        <w:rPr>
          <w:bCs/>
          <w:szCs w:val="32"/>
        </w:rPr>
        <w:t>.</w:t>
      </w:r>
      <w:r>
        <w:rPr>
          <w:rFonts w:hint="eastAsia"/>
          <w:bCs/>
          <w:szCs w:val="32"/>
        </w:rPr>
        <w:t>实验室名称和地址；</w:t>
      </w:r>
    </w:p>
    <w:p w14:paraId="7F3F60BD">
      <w:pPr>
        <w:ind w:firstLine="480"/>
        <w:rPr>
          <w:bCs/>
          <w:szCs w:val="32"/>
        </w:rPr>
      </w:pPr>
      <w:r>
        <w:rPr>
          <w:rFonts w:hint="eastAsia"/>
          <w:bCs/>
          <w:szCs w:val="32"/>
        </w:rPr>
        <w:t>3</w:t>
      </w:r>
      <w:r>
        <w:rPr>
          <w:bCs/>
          <w:szCs w:val="32"/>
        </w:rPr>
        <w:t>.</w:t>
      </w:r>
      <w:r>
        <w:rPr>
          <w:rFonts w:hint="eastAsia"/>
          <w:bCs/>
          <w:szCs w:val="32"/>
        </w:rPr>
        <w:t>进行校准的地点；</w:t>
      </w:r>
    </w:p>
    <w:p w14:paraId="3D6F2D8B">
      <w:pPr>
        <w:ind w:firstLine="480"/>
        <w:rPr>
          <w:bCs/>
          <w:szCs w:val="32"/>
        </w:rPr>
      </w:pPr>
      <w:r>
        <w:rPr>
          <w:rFonts w:hint="eastAsia"/>
          <w:bCs/>
          <w:szCs w:val="32"/>
        </w:rPr>
        <w:t>4</w:t>
      </w:r>
      <w:r>
        <w:rPr>
          <w:bCs/>
          <w:szCs w:val="32"/>
        </w:rPr>
        <w:t>.</w:t>
      </w:r>
      <w:r>
        <w:rPr>
          <w:rFonts w:hint="eastAsia"/>
          <w:bCs/>
          <w:szCs w:val="32"/>
        </w:rPr>
        <w:t>证书编号</w:t>
      </w:r>
      <w:r>
        <w:rPr>
          <w:rFonts w:hint="eastAsia"/>
          <w:szCs w:val="32"/>
        </w:rPr>
        <w:t>、</w:t>
      </w:r>
      <w:r>
        <w:rPr>
          <w:rFonts w:hint="eastAsia"/>
          <w:bCs/>
          <w:szCs w:val="32"/>
        </w:rPr>
        <w:t>页码及总页数；</w:t>
      </w:r>
    </w:p>
    <w:p w14:paraId="6D330323">
      <w:pPr>
        <w:ind w:firstLine="480"/>
        <w:rPr>
          <w:bCs/>
          <w:szCs w:val="32"/>
        </w:rPr>
      </w:pPr>
      <w:r>
        <w:rPr>
          <w:rFonts w:hint="eastAsia"/>
          <w:bCs/>
          <w:szCs w:val="32"/>
        </w:rPr>
        <w:t>5</w:t>
      </w:r>
      <w:r>
        <w:rPr>
          <w:bCs/>
          <w:szCs w:val="32"/>
        </w:rPr>
        <w:t>.</w:t>
      </w:r>
      <w:r>
        <w:rPr>
          <w:rFonts w:hint="eastAsia"/>
          <w:bCs/>
          <w:szCs w:val="32"/>
        </w:rPr>
        <w:t>送检单位的名称和地址；</w:t>
      </w:r>
    </w:p>
    <w:p w14:paraId="590C4728">
      <w:pPr>
        <w:ind w:firstLine="480"/>
        <w:rPr>
          <w:bCs/>
          <w:szCs w:val="32"/>
        </w:rPr>
      </w:pPr>
      <w:r>
        <w:rPr>
          <w:rFonts w:hint="eastAsia"/>
          <w:bCs/>
          <w:szCs w:val="32"/>
        </w:rPr>
        <w:t>6.被校对象的描述和唯一标识；</w:t>
      </w:r>
    </w:p>
    <w:p w14:paraId="4712A3AB">
      <w:pPr>
        <w:ind w:firstLine="480"/>
        <w:rPr>
          <w:bCs/>
          <w:szCs w:val="32"/>
        </w:rPr>
      </w:pPr>
      <w:r>
        <w:rPr>
          <w:rFonts w:hint="eastAsia"/>
          <w:bCs/>
          <w:szCs w:val="32"/>
        </w:rPr>
        <w:t>7</w:t>
      </w:r>
      <w:r>
        <w:rPr>
          <w:bCs/>
          <w:szCs w:val="32"/>
        </w:rPr>
        <w:t>.</w:t>
      </w:r>
      <w:r>
        <w:rPr>
          <w:rFonts w:hint="eastAsia"/>
          <w:bCs/>
          <w:szCs w:val="32"/>
        </w:rPr>
        <w:t>进行校准的日期；</w:t>
      </w:r>
    </w:p>
    <w:p w14:paraId="311DC4AB">
      <w:pPr>
        <w:ind w:firstLine="480"/>
        <w:rPr>
          <w:bCs/>
          <w:szCs w:val="32"/>
        </w:rPr>
      </w:pPr>
      <w:r>
        <w:rPr>
          <w:rFonts w:hint="eastAsia"/>
          <w:bCs/>
          <w:szCs w:val="32"/>
        </w:rPr>
        <w:t>8</w:t>
      </w:r>
      <w:r>
        <w:rPr>
          <w:bCs/>
          <w:szCs w:val="32"/>
        </w:rPr>
        <w:t>.</w:t>
      </w:r>
      <w:r>
        <w:rPr>
          <w:rFonts w:hint="eastAsia"/>
          <w:bCs/>
          <w:szCs w:val="32"/>
        </w:rPr>
        <w:t>对校准所依据的技术规范的标识，包括名称及代号；</w:t>
      </w:r>
    </w:p>
    <w:p w14:paraId="5E0E9D06">
      <w:pPr>
        <w:ind w:firstLine="480"/>
        <w:rPr>
          <w:bCs/>
          <w:szCs w:val="32"/>
        </w:rPr>
      </w:pPr>
      <w:r>
        <w:rPr>
          <w:rFonts w:hint="eastAsia"/>
          <w:bCs/>
          <w:szCs w:val="32"/>
        </w:rPr>
        <w:t>9</w:t>
      </w:r>
      <w:r>
        <w:rPr>
          <w:bCs/>
          <w:szCs w:val="32"/>
        </w:rPr>
        <w:t>.</w:t>
      </w:r>
      <w:r>
        <w:rPr>
          <w:rFonts w:hint="eastAsia"/>
          <w:bCs/>
          <w:szCs w:val="32"/>
        </w:rPr>
        <w:t>校准所使用的计量标准名称及有效期；</w:t>
      </w:r>
    </w:p>
    <w:p w14:paraId="71AAE544">
      <w:pPr>
        <w:ind w:firstLine="480"/>
        <w:rPr>
          <w:bCs/>
          <w:szCs w:val="32"/>
        </w:rPr>
      </w:pPr>
      <w:r>
        <w:rPr>
          <w:rFonts w:hint="eastAsia"/>
          <w:bCs/>
          <w:szCs w:val="32"/>
        </w:rPr>
        <w:t>1</w:t>
      </w:r>
      <w:r>
        <w:rPr>
          <w:bCs/>
          <w:szCs w:val="32"/>
        </w:rPr>
        <w:t>0.</w:t>
      </w:r>
      <w:r>
        <w:rPr>
          <w:rFonts w:hint="eastAsia"/>
          <w:bCs/>
          <w:szCs w:val="32"/>
        </w:rPr>
        <w:t>校准环境的描述；</w:t>
      </w:r>
    </w:p>
    <w:p w14:paraId="442A45BC">
      <w:pPr>
        <w:ind w:firstLine="480"/>
        <w:rPr>
          <w:bCs/>
          <w:szCs w:val="32"/>
        </w:rPr>
      </w:pPr>
      <w:r>
        <w:rPr>
          <w:rFonts w:hint="eastAsia"/>
          <w:bCs/>
          <w:szCs w:val="32"/>
        </w:rPr>
        <w:t>1</w:t>
      </w:r>
      <w:r>
        <w:rPr>
          <w:bCs/>
          <w:szCs w:val="32"/>
        </w:rPr>
        <w:t>1.</w:t>
      </w:r>
      <w:r>
        <w:rPr>
          <w:rFonts w:hint="eastAsia"/>
          <w:bCs/>
          <w:szCs w:val="32"/>
        </w:rPr>
        <w:t>校准项目的校准结果；</w:t>
      </w:r>
    </w:p>
    <w:p w14:paraId="24C203A8">
      <w:pPr>
        <w:ind w:firstLine="480"/>
        <w:rPr>
          <w:bCs/>
          <w:szCs w:val="32"/>
        </w:rPr>
      </w:pPr>
      <w:r>
        <w:rPr>
          <w:rFonts w:hint="eastAsia"/>
          <w:bCs/>
          <w:szCs w:val="32"/>
        </w:rPr>
        <w:t>1</w:t>
      </w:r>
      <w:r>
        <w:rPr>
          <w:bCs/>
          <w:szCs w:val="32"/>
        </w:rPr>
        <w:t>2.</w:t>
      </w:r>
      <w:r>
        <w:rPr>
          <w:rFonts w:hint="eastAsia"/>
          <w:bCs/>
          <w:szCs w:val="32"/>
        </w:rPr>
        <w:t>校准结果的测量不确定度；</w:t>
      </w:r>
    </w:p>
    <w:p w14:paraId="42130D03">
      <w:pPr>
        <w:ind w:firstLine="480"/>
        <w:rPr>
          <w:bCs/>
          <w:szCs w:val="32"/>
        </w:rPr>
      </w:pPr>
      <w:r>
        <w:rPr>
          <w:rFonts w:hint="eastAsia"/>
          <w:bCs/>
          <w:szCs w:val="32"/>
        </w:rPr>
        <w:t>1</w:t>
      </w:r>
      <w:r>
        <w:rPr>
          <w:bCs/>
          <w:szCs w:val="32"/>
        </w:rPr>
        <w:t>3.</w:t>
      </w:r>
      <w:r>
        <w:rPr>
          <w:rFonts w:hint="eastAsia"/>
          <w:bCs/>
          <w:szCs w:val="32"/>
        </w:rPr>
        <w:t>校准员、核验员、批准人签名；</w:t>
      </w:r>
    </w:p>
    <w:p w14:paraId="6FE702C7">
      <w:pPr>
        <w:ind w:firstLine="480"/>
        <w:rPr>
          <w:bCs/>
          <w:szCs w:val="32"/>
        </w:rPr>
      </w:pPr>
      <w:r>
        <w:rPr>
          <w:rFonts w:hint="eastAsia"/>
          <w:bCs/>
          <w:szCs w:val="32"/>
        </w:rPr>
        <w:t>1</w:t>
      </w:r>
      <w:r>
        <w:rPr>
          <w:bCs/>
          <w:szCs w:val="32"/>
        </w:rPr>
        <w:t>4.</w:t>
      </w:r>
      <w:r>
        <w:rPr>
          <w:rFonts w:hint="eastAsia"/>
          <w:bCs/>
          <w:szCs w:val="32"/>
        </w:rPr>
        <w:t>校准证书签发日期；</w:t>
      </w:r>
    </w:p>
    <w:p w14:paraId="0C629291">
      <w:pPr>
        <w:ind w:firstLine="480"/>
        <w:rPr>
          <w:bCs/>
          <w:szCs w:val="32"/>
        </w:rPr>
      </w:pPr>
      <w:r>
        <w:rPr>
          <w:rFonts w:hint="eastAsia"/>
          <w:bCs/>
          <w:szCs w:val="32"/>
        </w:rPr>
        <w:t>1</w:t>
      </w:r>
      <w:r>
        <w:rPr>
          <w:bCs/>
          <w:szCs w:val="32"/>
        </w:rPr>
        <w:t>5.</w:t>
      </w:r>
      <w:r>
        <w:rPr>
          <w:rFonts w:hint="eastAsia"/>
          <w:bCs/>
          <w:szCs w:val="32"/>
        </w:rPr>
        <w:t>复校时间间隔的建议。</w:t>
      </w:r>
    </w:p>
    <w:p w14:paraId="3C9D8B55">
      <w:pPr>
        <w:ind w:firstLine="480"/>
        <w:rPr>
          <w:bCs/>
          <w:szCs w:val="32"/>
        </w:rPr>
      </w:pPr>
      <w:r>
        <w:rPr>
          <w:rFonts w:hint="eastAsia"/>
          <w:bCs/>
          <w:szCs w:val="32"/>
        </w:rPr>
        <w:t>未经实验室书面批准，不得部分复制校准证书。</w:t>
      </w:r>
    </w:p>
    <w:p w14:paraId="02F720BD">
      <w:pPr>
        <w:pStyle w:val="54"/>
      </w:pPr>
      <w:r>
        <w:rPr>
          <w:rFonts w:hint="eastAsia" w:ascii="黑体" w:hAnsi="黑体"/>
        </w:rPr>
        <w:t>A.2</w:t>
      </w:r>
      <w:r>
        <w:rPr>
          <w:rFonts w:ascii="黑体" w:hAnsi="黑体"/>
        </w:rPr>
        <w:t xml:space="preserve"> </w:t>
      </w:r>
      <w:r>
        <w:rPr>
          <w:rFonts w:hint="eastAsia"/>
        </w:rPr>
        <w:t>校准证书内页格式</w:t>
      </w:r>
    </w:p>
    <w:p w14:paraId="5DAF9281">
      <w:pPr>
        <w:widowControl/>
        <w:ind w:firstLine="480"/>
        <w:jc w:val="left"/>
      </w:pPr>
      <w:r>
        <w:rPr>
          <w:rFonts w:hint="eastAsia"/>
        </w:rPr>
        <w:t>校准证书内页格式见表</w:t>
      </w:r>
      <w:r>
        <w:t>A</w:t>
      </w:r>
      <w:r>
        <w:rPr>
          <w:rFonts w:hint="eastAsia"/>
        </w:rPr>
        <w:t>.</w:t>
      </w:r>
      <w:r>
        <w:t>1</w:t>
      </w:r>
      <w:r>
        <w:rPr>
          <w:rFonts w:hint="eastAsia"/>
        </w:rPr>
        <w:t>。</w:t>
      </w:r>
    </w:p>
    <w:p w14:paraId="33944046">
      <w:pPr>
        <w:pStyle w:val="62"/>
      </w:pPr>
      <w:r>
        <w:rPr>
          <w:rFonts w:hint="eastAsia"/>
        </w:rPr>
        <w:t>表</w:t>
      </w:r>
      <w:r>
        <w:t>A</w:t>
      </w:r>
      <w:r>
        <w:rPr>
          <w:rFonts w:hint="eastAsia"/>
        </w:rPr>
        <w:t>.</w:t>
      </w:r>
      <w:r>
        <w:t xml:space="preserve">1 </w:t>
      </w:r>
      <w:r>
        <w:rPr>
          <w:rFonts w:hint="eastAsia"/>
        </w:rPr>
        <w:t>微纳线宽/栅格标准片校准</w:t>
      </w:r>
      <w:r>
        <w:t>证书（内页）格式</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33897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vAlign w:val="center"/>
          </w:tcPr>
          <w:p w14:paraId="0941A009">
            <w:pPr>
              <w:pStyle w:val="60"/>
              <w:rPr>
                <w:rFonts w:hint="eastAsia"/>
              </w:rPr>
            </w:pPr>
            <w:r>
              <w:rPr>
                <w:rFonts w:hint="eastAsia"/>
              </w:rPr>
              <w:t>校准结果</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701"/>
              <w:gridCol w:w="1701"/>
              <w:gridCol w:w="2229"/>
            </w:tblGrid>
            <w:tr w14:paraId="4F22C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14:paraId="35A539EF">
                  <w:pPr>
                    <w:pStyle w:val="60"/>
                    <w:rPr>
                      <w:rFonts w:hint="eastAsia"/>
                    </w:rPr>
                  </w:pPr>
                  <w:r>
                    <w:rPr>
                      <w:rFonts w:hint="eastAsia"/>
                    </w:rPr>
                    <w:t>校准项目</w:t>
                  </w:r>
                </w:p>
              </w:tc>
              <w:tc>
                <w:tcPr>
                  <w:tcW w:w="1701" w:type="dxa"/>
                  <w:vAlign w:val="center"/>
                </w:tcPr>
                <w:p w14:paraId="1EAC564D">
                  <w:pPr>
                    <w:pStyle w:val="60"/>
                    <w:rPr>
                      <w:rFonts w:hint="eastAsia"/>
                    </w:rPr>
                  </w:pPr>
                  <w:r>
                    <w:rPr>
                      <w:rFonts w:hint="eastAsia"/>
                    </w:rPr>
                    <w:t>校准值</w:t>
                  </w:r>
                </w:p>
              </w:tc>
              <w:tc>
                <w:tcPr>
                  <w:tcW w:w="1701" w:type="dxa"/>
                  <w:vAlign w:val="center"/>
                </w:tcPr>
                <w:p w14:paraId="54777E98">
                  <w:pPr>
                    <w:pStyle w:val="60"/>
                    <w:rPr>
                      <w:rFonts w:hint="eastAsia"/>
                    </w:rPr>
                  </w:pPr>
                  <w:r>
                    <w:t>不确定度(</w:t>
                  </w:r>
                  <w:r>
                    <w:rPr>
                      <w:i/>
                      <w:iCs/>
                    </w:rPr>
                    <w:t>k</w:t>
                  </w:r>
                  <w:r>
                    <w:t>=2)</w:t>
                  </w:r>
                </w:p>
              </w:tc>
              <w:tc>
                <w:tcPr>
                  <w:tcW w:w="2229" w:type="dxa"/>
                  <w:vAlign w:val="center"/>
                </w:tcPr>
                <w:p w14:paraId="07407705">
                  <w:pPr>
                    <w:pStyle w:val="60"/>
                    <w:rPr>
                      <w:rFonts w:hint="eastAsia"/>
                    </w:rPr>
                  </w:pPr>
                  <w:r>
                    <w:rPr>
                      <w:rFonts w:hint="eastAsia"/>
                    </w:rPr>
                    <w:t>均匀性/相对均匀性</w:t>
                  </w:r>
                </w:p>
              </w:tc>
            </w:tr>
            <w:tr w14:paraId="1F5AA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14:paraId="0342A55E">
                  <w:pPr>
                    <w:pStyle w:val="60"/>
                    <w:rPr>
                      <w:rFonts w:hint="eastAsia"/>
                    </w:rPr>
                  </w:pPr>
                </w:p>
              </w:tc>
              <w:tc>
                <w:tcPr>
                  <w:tcW w:w="1701" w:type="dxa"/>
                  <w:vAlign w:val="center"/>
                </w:tcPr>
                <w:p w14:paraId="2ECEB215">
                  <w:pPr>
                    <w:pStyle w:val="60"/>
                    <w:rPr>
                      <w:rFonts w:hint="eastAsia"/>
                    </w:rPr>
                  </w:pPr>
                </w:p>
              </w:tc>
              <w:tc>
                <w:tcPr>
                  <w:tcW w:w="1701" w:type="dxa"/>
                  <w:vAlign w:val="center"/>
                </w:tcPr>
                <w:p w14:paraId="4A92AC8B">
                  <w:pPr>
                    <w:pStyle w:val="60"/>
                    <w:rPr>
                      <w:rFonts w:hint="eastAsia"/>
                    </w:rPr>
                  </w:pPr>
                </w:p>
              </w:tc>
              <w:tc>
                <w:tcPr>
                  <w:tcW w:w="2229" w:type="dxa"/>
                </w:tcPr>
                <w:p w14:paraId="77F223F7">
                  <w:pPr>
                    <w:pStyle w:val="60"/>
                    <w:rPr>
                      <w:rFonts w:hint="eastAsia"/>
                    </w:rPr>
                  </w:pPr>
                </w:p>
              </w:tc>
            </w:tr>
          </w:tbl>
          <w:p w14:paraId="73021FC3">
            <w:pPr>
              <w:ind w:firstLine="480"/>
              <w:jc w:val="center"/>
            </w:pPr>
          </w:p>
        </w:tc>
      </w:tr>
    </w:tbl>
    <w:p w14:paraId="0D4C8731">
      <w:pPr>
        <w:ind w:firstLine="480"/>
      </w:pPr>
    </w:p>
    <w:p w14:paraId="61E94CD2">
      <w:pPr>
        <w:widowControl/>
        <w:tabs>
          <w:tab w:val="clear" w:pos="4150"/>
          <w:tab w:val="clear" w:pos="10103"/>
        </w:tabs>
        <w:ind w:firstLine="0" w:firstLineChars="0"/>
        <w:jc w:val="left"/>
        <w:rPr>
          <w:rFonts w:ascii="Arial" w:hAnsi="Arial" w:cs="Arial"/>
        </w:rPr>
      </w:pPr>
      <w:r>
        <w:rPr>
          <w:rFonts w:ascii="Arial" w:hAnsi="Arial" w:cs="Arial"/>
        </w:rPr>
        <w:br w:type="page"/>
      </w:r>
    </w:p>
    <w:p w14:paraId="6C6AECF1">
      <w:pPr>
        <w:pStyle w:val="2"/>
        <w:spacing w:before="163" w:beforeLines="50" w:after="163" w:afterLines="50"/>
        <w:rPr>
          <w:sz w:val="28"/>
          <w:szCs w:val="28"/>
        </w:rPr>
      </w:pPr>
      <w:bookmarkStart w:id="61" w:name="_Toc177550257"/>
      <w:bookmarkStart w:id="62" w:name="_Toc179359016"/>
      <w:r>
        <w:rPr>
          <w:rFonts w:hint="eastAsia"/>
          <w:sz w:val="28"/>
          <w:szCs w:val="28"/>
        </w:rPr>
        <w:t>附录</w:t>
      </w:r>
      <w:bookmarkEnd w:id="61"/>
      <w:r>
        <w:rPr>
          <w:rFonts w:hint="eastAsia"/>
          <w:sz w:val="28"/>
          <w:szCs w:val="28"/>
        </w:rPr>
        <w:t xml:space="preserve">B </w:t>
      </w:r>
    </w:p>
    <w:p w14:paraId="306FE3F9">
      <w:pPr>
        <w:pStyle w:val="2"/>
        <w:spacing w:before="163" w:beforeLines="50" w:after="163" w:afterLines="50"/>
        <w:jc w:val="center"/>
        <w:rPr>
          <w:sz w:val="28"/>
          <w:szCs w:val="28"/>
        </w:rPr>
      </w:pPr>
      <w:r>
        <w:rPr>
          <w:rFonts w:hint="eastAsia" w:cs="黑体"/>
          <w:sz w:val="28"/>
          <w:szCs w:val="28"/>
        </w:rPr>
        <w:t>紫外光学法微纳线宽校准的不确定度评定示例</w:t>
      </w:r>
      <w:bookmarkEnd w:id="62"/>
    </w:p>
    <w:p w14:paraId="4F8983D9">
      <w:pPr>
        <w:pStyle w:val="54"/>
      </w:pPr>
      <w:r>
        <w:rPr>
          <w:rFonts w:hint="eastAsia"/>
        </w:rPr>
        <w:t>B.1 测量方法</w:t>
      </w:r>
    </w:p>
    <w:p w14:paraId="6994051B">
      <w:pPr>
        <w:ind w:firstLine="480"/>
      </w:pPr>
      <w:r>
        <w:rPr>
          <w:rFonts w:hint="eastAsia"/>
        </w:rPr>
        <w:t>在工作台上放置微纳线宽样板，调焦至成像清晰，并细微调整样板位置，使样板成像于影像屏幕的中间合适位置，利用仪器测量软件采集测量。</w:t>
      </w:r>
    </w:p>
    <w:p w14:paraId="6E94BE83">
      <w:pPr>
        <w:pStyle w:val="54"/>
      </w:pPr>
      <w:r>
        <w:rPr>
          <w:rFonts w:hint="eastAsia"/>
        </w:rPr>
        <w:t>B.2 测量模型</w:t>
      </w:r>
    </w:p>
    <w:p w14:paraId="5B5DA265">
      <w:pPr>
        <w:ind w:firstLine="480"/>
      </w:pPr>
      <w:r>
        <w:rPr>
          <w:rFonts w:hint="eastAsia"/>
        </w:rPr>
        <w:t>在标准参考温度20</w:t>
      </w:r>
      <w:r>
        <w:rPr>
          <w:rFonts w:hint="eastAsia" w:ascii="宋体" w:hAnsi="宋体"/>
        </w:rPr>
        <w:t>℃下，</w:t>
      </w:r>
      <w:r>
        <w:rPr>
          <w:rFonts w:hint="eastAsia"/>
        </w:rPr>
        <w:t>测量状态下被校准样板的线宽是通过直接测量得到的，因此</w:t>
      </w:r>
    </w:p>
    <w:p w14:paraId="322BF1CE">
      <w:pPr>
        <w:ind w:firstLine="480"/>
        <w:rPr>
          <w:vertAlign w:val="subscript"/>
        </w:rPr>
      </w:pPr>
      <w:r>
        <w:tab/>
      </w:r>
      <m:oMath>
        <m:r>
          <m:rPr/>
          <w:rPr>
            <w:rFonts w:hint="eastAsia" w:ascii="Cambria Math" w:hAnsi="Cambria Math"/>
          </w:rPr>
          <m:t>y</m:t>
        </m:r>
        <m:r>
          <m:rPr/>
          <w:rPr>
            <w:rFonts w:ascii="Cambria Math" w:hAnsi="Cambria Math"/>
          </w:rPr>
          <m:t>=</m:t>
        </m:r>
        <m:acc>
          <m:accPr>
            <m:chr m:val="̅"/>
            <m:ctrlPr>
              <w:rPr>
                <w:rFonts w:ascii="Cambria Math" w:hAnsi="Cambria Math"/>
                <w:i/>
              </w:rPr>
            </m:ctrlPr>
          </m:accPr>
          <m:e>
            <m:r>
              <m:rPr/>
              <w:rPr>
                <w:rFonts w:ascii="Cambria Math" w:hAnsi="Cambria Math"/>
              </w:rPr>
              <m:t>W</m:t>
            </m:r>
            <m:ctrlPr>
              <w:rPr>
                <w:rFonts w:ascii="Cambria Math" w:hAnsi="Cambria Math"/>
                <w:i/>
              </w:rPr>
            </m:ctrlPr>
          </m:e>
        </m:acc>
      </m:oMath>
      <w:r>
        <w:tab/>
      </w:r>
      <w:r>
        <w:rPr>
          <w:rFonts w:hint="eastAsia"/>
        </w:rPr>
        <w:t>（B.1）</w:t>
      </w:r>
    </w:p>
    <w:p w14:paraId="5AE84201">
      <w:pPr>
        <w:ind w:firstLine="480"/>
        <w:rPr>
          <w:rFonts w:hint="eastAsia" w:ascii="宋体" w:hAnsi="宋体"/>
        </w:rPr>
      </w:pPr>
      <w:r>
        <w:rPr>
          <w:rFonts w:hint="eastAsia" w:ascii="宋体" w:hAnsi="宋体"/>
        </w:rPr>
        <w:t>式中，</w:t>
      </w:r>
    </w:p>
    <w:p w14:paraId="1B38F5DC">
      <w:pPr>
        <w:ind w:firstLine="480"/>
      </w:pPr>
      <m:oMath>
        <m:r>
          <m:rPr/>
          <w:rPr>
            <w:rFonts w:hint="eastAsia" w:ascii="Cambria Math" w:hAnsi="Cambria Math"/>
          </w:rPr>
          <m:t>y</m:t>
        </m:r>
      </m:oMath>
      <w:r>
        <w:rPr>
          <w:rFonts w:hint="eastAsia"/>
        </w:rPr>
        <w:t>—被测样板的测量结果；</w:t>
      </w:r>
    </w:p>
    <w:p w14:paraId="733CB610">
      <w:pPr>
        <w:ind w:firstLine="480"/>
      </w:pPr>
      <m:oMath>
        <m:acc>
          <m:accPr>
            <m:chr m:val="̅"/>
            <m:ctrlPr>
              <w:rPr>
                <w:rFonts w:ascii="Cambria Math" w:hAnsi="Cambria Math"/>
                <w:i/>
              </w:rPr>
            </m:ctrlPr>
          </m:accPr>
          <m:e>
            <m:r>
              <m:rPr/>
              <w:rPr>
                <w:rFonts w:ascii="Cambria Math" w:hAnsi="Cambria Math"/>
              </w:rPr>
              <m:t>W</m:t>
            </m:r>
            <m:ctrlPr>
              <w:rPr>
                <w:rFonts w:ascii="Cambria Math" w:hAnsi="Cambria Math"/>
                <w:i/>
              </w:rPr>
            </m:ctrlPr>
          </m:e>
        </m:acc>
      </m:oMath>
      <w:r>
        <w:rPr>
          <w:rFonts w:hint="eastAsia"/>
        </w:rPr>
        <w:t>—被校准样板在测量条件下通过计算得到的数值。</w:t>
      </w:r>
    </w:p>
    <w:p w14:paraId="7B21660A">
      <w:pPr>
        <w:ind w:firstLine="480"/>
        <w:rPr>
          <w:iCs/>
        </w:rPr>
      </w:pPr>
      <w:r>
        <w:rPr>
          <w:rFonts w:hint="eastAsia"/>
          <w:iCs/>
        </w:rPr>
        <w:t>根据测量时的实际状态，综合分析对测量结果会产生影响的误差来源，不确定度来源如下：</w:t>
      </w:r>
    </w:p>
    <w:p w14:paraId="4B5492EE">
      <w:pPr>
        <w:ind w:firstLine="480"/>
      </w:pPr>
      <w:r>
        <w:rPr>
          <w:rFonts w:hint="eastAsia"/>
        </w:rPr>
        <w:t>（a）仪器引入的不确定度；</w:t>
      </w:r>
    </w:p>
    <w:p w14:paraId="069593B3">
      <w:pPr>
        <w:ind w:firstLine="480"/>
      </w:pPr>
      <w:r>
        <w:rPr>
          <w:rFonts w:hint="eastAsia"/>
        </w:rPr>
        <w:t>（b）样板均匀性引入的不确定度；</w:t>
      </w:r>
    </w:p>
    <w:p w14:paraId="334FE856">
      <w:pPr>
        <w:ind w:firstLine="480"/>
      </w:pPr>
      <w:r>
        <w:rPr>
          <w:rFonts w:hint="eastAsia"/>
        </w:rPr>
        <w:t>（c）环境等因素引入的不确定度。</w:t>
      </w:r>
    </w:p>
    <w:p w14:paraId="1B90E876">
      <w:pPr>
        <w:ind w:firstLine="480"/>
        <w:rPr>
          <w:iCs/>
          <w:lang w:val="nl-NL"/>
        </w:rPr>
      </w:pPr>
      <w:r>
        <w:rPr>
          <w:rFonts w:hint="eastAsia"/>
          <w:iCs/>
          <w:lang w:val="nl-NL"/>
        </w:rPr>
        <w:t>实验中，环境因素引入的不确定度相比于其他不确定度可忽略不计，因此可得微纳线宽不确定度的数学模型为：</w:t>
      </w:r>
    </w:p>
    <w:p w14:paraId="2132B9B5">
      <w:pPr>
        <w:ind w:firstLine="480"/>
        <w:rPr>
          <w:iCs/>
        </w:rPr>
      </w:pPr>
      <w:r>
        <w:rPr>
          <w:iCs/>
        </w:rPr>
        <w:tab/>
      </w:r>
      <m:oMath>
        <m:r>
          <m:rPr/>
          <w:rPr>
            <w:rFonts w:ascii="Cambria Math" w:hAnsi="Cambria Math"/>
          </w:rPr>
          <m:t>W=</m:t>
        </m:r>
        <m:acc>
          <m:accPr>
            <m:chr m:val="̅"/>
            <m:ctrlPr>
              <w:rPr>
                <w:rFonts w:ascii="Cambria Math" w:hAnsi="Cambria Math"/>
                <w:i/>
                <w:iCs/>
              </w:rPr>
            </m:ctrlPr>
          </m:accPr>
          <m:e>
            <m:r>
              <m:rPr/>
              <w:rPr>
                <w:rFonts w:ascii="Cambria Math" w:hAnsi="Cambria Math"/>
              </w:rPr>
              <m:t>W</m:t>
            </m:r>
            <m:ctrlPr>
              <w:rPr>
                <w:rFonts w:ascii="Cambria Math" w:hAnsi="Cambria Math"/>
                <w:i/>
                <w:iCs/>
              </w:rPr>
            </m:ctrlPr>
          </m:e>
        </m:acc>
        <m:r>
          <m:rPr/>
          <w:rPr>
            <w:rFonts w:ascii="Cambria Math" w:hAnsi="Cambria Math"/>
          </w:rPr>
          <m:t>+</m:t>
        </m:r>
        <w:bookmarkStart w:id="63" w:name="OLE_LINK2"/>
        <m:r>
          <m:rPr/>
          <w:rPr>
            <w:rFonts w:ascii="Cambria Math" w:hAnsi="Cambria Math"/>
          </w:rPr>
          <m:t>δ</m:t>
        </m:r>
        <m:d>
          <m:dPr>
            <m:begChr m:val="（"/>
            <m:endChr m:val="）"/>
            <m:ctrlPr>
              <w:rPr>
                <w:rFonts w:ascii="Cambria Math" w:hAnsi="Cambria Math"/>
                <w:i/>
                <w:iCs/>
              </w:rPr>
            </m:ctrlPr>
          </m:dPr>
          <m:e>
            <m:sSub>
              <m:sSubPr>
                <m:ctrlPr>
                  <w:rPr>
                    <w:rFonts w:ascii="Cambria Math" w:hAnsi="Cambria Math"/>
                    <w:i/>
                    <w:iCs/>
                  </w:rPr>
                </m:ctrlPr>
              </m:sSubPr>
              <m:e>
                <m:r>
                  <m:rPr/>
                  <w:rPr>
                    <w:rFonts w:ascii="Cambria Math" w:hAnsi="Cambria Math"/>
                  </w:rPr>
                  <m:t>W</m:t>
                </m:r>
                <m:ctrlPr>
                  <w:rPr>
                    <w:rFonts w:ascii="Cambria Math" w:hAnsi="Cambria Math"/>
                    <w:i/>
                    <w:iCs/>
                  </w:rPr>
                </m:ctrlPr>
              </m:e>
              <m:sub>
                <m:r>
                  <m:rPr/>
                  <w:rPr>
                    <w:rFonts w:ascii="Cambria Math" w:hAnsi="Cambria Math"/>
                  </w:rPr>
                  <m:t>1</m:t>
                </m:r>
                <m:ctrlPr>
                  <w:rPr>
                    <w:rFonts w:ascii="Cambria Math" w:hAnsi="Cambria Math"/>
                    <w:i/>
                    <w:iCs/>
                  </w:rPr>
                </m:ctrlPr>
              </m:sub>
            </m:sSub>
            <m:ctrlPr>
              <w:rPr>
                <w:rFonts w:ascii="Cambria Math" w:hAnsi="Cambria Math"/>
                <w:i/>
                <w:iCs/>
              </w:rPr>
            </m:ctrlPr>
            <w:bookmarkEnd w:id="63"/>
          </m:e>
        </m:d>
        <m:r>
          <m:rPr/>
          <w:rPr>
            <w:rFonts w:ascii="Cambria Math" w:hAnsi="Cambria Math"/>
          </w:rPr>
          <m:t>+δ</m:t>
        </m:r>
        <m:d>
          <m:dPr>
            <m:begChr m:val="（"/>
            <m:endChr m:val="）"/>
            <m:ctrlPr>
              <w:rPr>
                <w:rFonts w:ascii="Cambria Math" w:hAnsi="Cambria Math"/>
                <w:i/>
                <w:iCs/>
              </w:rPr>
            </m:ctrlPr>
          </m:dPr>
          <m:e>
            <m:sSub>
              <m:sSubPr>
                <m:ctrlPr>
                  <w:rPr>
                    <w:rFonts w:ascii="Cambria Math" w:hAnsi="Cambria Math"/>
                    <w:i/>
                    <w:iCs/>
                  </w:rPr>
                </m:ctrlPr>
              </m:sSubPr>
              <m:e>
                <m:r>
                  <m:rPr/>
                  <w:rPr>
                    <w:rFonts w:ascii="Cambria Math" w:hAnsi="Cambria Math"/>
                  </w:rPr>
                  <m:t>W</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i/>
                <w:iCs/>
              </w:rPr>
            </m:ctrlPr>
          </m:e>
        </m:d>
      </m:oMath>
      <w:r>
        <w:rPr>
          <w:iCs/>
        </w:rPr>
        <w:tab/>
      </w:r>
      <w:r>
        <w:rPr>
          <w:rFonts w:hint="eastAsia"/>
          <w:iCs/>
        </w:rPr>
        <w:t>（B.2）</w:t>
      </w:r>
    </w:p>
    <w:p w14:paraId="320B0921">
      <w:pPr>
        <w:ind w:firstLine="480"/>
        <w:rPr>
          <w:rFonts w:ascii="Arial" w:hAnsi="Arial" w:cs="Arial"/>
        </w:rPr>
      </w:pPr>
      <w:r>
        <w:rPr>
          <w:rFonts w:hint="eastAsia" w:ascii="Arial" w:hAnsi="Arial" w:cs="Arial"/>
        </w:rPr>
        <w:t>式中：</w:t>
      </w:r>
    </w:p>
    <w:p w14:paraId="6C6A0F8D">
      <w:pPr>
        <w:ind w:firstLine="480"/>
      </w:pPr>
      <m:oMath>
        <m:r>
          <m:rPr/>
          <w:rPr>
            <w:rFonts w:ascii="Cambria Math" w:hAnsi="Cambria Math" w:cs="Arial"/>
          </w:rPr>
          <m:t>δ</m:t>
        </m:r>
        <m:r>
          <m:rPr/>
          <w:rPr>
            <w:rFonts w:hint="eastAsia" w:ascii="Cambria Math" w:hAnsi="Cambria Math" w:cs="Arial"/>
          </w:rPr>
          <m:t>（</m:t>
        </m:r>
        <m:sSub>
          <m:sSubPr>
            <m:ctrlPr>
              <w:rPr>
                <w:rFonts w:ascii="Cambria Math" w:hAnsi="Cambria Math" w:cs="Arial"/>
                <w:i/>
              </w:rPr>
            </m:ctrlPr>
          </m:sSubPr>
          <m:e>
            <m:r>
              <m:rPr/>
              <w:rPr>
                <w:rFonts w:ascii="Cambria Math" w:hAnsi="Cambria Math" w:cs="Arial"/>
              </w:rPr>
              <m:t>W</m:t>
            </m:r>
            <m:ctrlPr>
              <w:rPr>
                <w:rFonts w:ascii="Cambria Math" w:hAnsi="Cambria Math" w:cs="Arial"/>
                <w:i/>
              </w:rPr>
            </m:ctrlPr>
          </m:e>
          <m:sub>
            <m:r>
              <m:rPr/>
              <w:rPr>
                <w:rFonts w:ascii="Cambria Math" w:hAnsi="Cambria Math" w:cs="Arial"/>
              </w:rPr>
              <m:t>1</m:t>
            </m:r>
            <m:ctrlPr>
              <w:rPr>
                <w:rFonts w:ascii="Cambria Math" w:hAnsi="Cambria Math" w:cs="Arial"/>
                <w:i/>
              </w:rPr>
            </m:ctrlPr>
          </m:sub>
        </m:sSub>
        <m:r>
          <m:rPr/>
          <w:rPr>
            <w:rFonts w:hint="eastAsia" w:ascii="Cambria Math" w:hAnsi="Cambria Math" w:cs="Arial"/>
          </w:rPr>
          <m:t>）</m:t>
        </m:r>
      </m:oMath>
      <w:r>
        <w:rPr>
          <w:rFonts w:hint="eastAsia"/>
        </w:rPr>
        <w:t>—仪器引入的不确定度；</w:t>
      </w:r>
    </w:p>
    <w:p w14:paraId="3BE388E3">
      <w:pPr>
        <w:ind w:firstLine="480"/>
      </w:pPr>
      <m:oMath>
        <m:r>
          <m:rPr/>
          <w:rPr>
            <w:rFonts w:ascii="Cambria Math" w:hAnsi="Cambria Math" w:cs="Arial"/>
          </w:rPr>
          <m:t>δ</m:t>
        </m:r>
        <m:r>
          <m:rPr/>
          <w:rPr>
            <w:rFonts w:hint="eastAsia" w:ascii="Cambria Math" w:hAnsi="Cambria Math" w:cs="Arial"/>
          </w:rPr>
          <m:t>（</m:t>
        </m:r>
        <m:sSub>
          <m:sSubPr>
            <m:ctrlPr>
              <w:rPr>
                <w:rFonts w:ascii="Cambria Math" w:hAnsi="Cambria Math" w:cs="Arial"/>
                <w:i/>
              </w:rPr>
            </m:ctrlPr>
          </m:sSubPr>
          <m:e>
            <m:r>
              <m:rPr/>
              <w:rPr>
                <w:rFonts w:ascii="Cambria Math" w:hAnsi="Cambria Math" w:cs="Arial"/>
              </w:rPr>
              <m:t>W</m:t>
            </m:r>
            <m:ctrlPr>
              <w:rPr>
                <w:rFonts w:ascii="Cambria Math" w:hAnsi="Cambria Math" w:cs="Arial"/>
                <w:i/>
              </w:rPr>
            </m:ctrlPr>
          </m:e>
          <m:sub>
            <m:r>
              <m:rPr/>
              <w:rPr>
                <w:rFonts w:ascii="Cambria Math" w:hAnsi="Cambria Math" w:cs="Arial"/>
              </w:rPr>
              <m:t>2</m:t>
            </m:r>
            <m:ctrlPr>
              <w:rPr>
                <w:rFonts w:ascii="Cambria Math" w:hAnsi="Cambria Math" w:cs="Arial"/>
                <w:i/>
              </w:rPr>
            </m:ctrlPr>
          </m:sub>
        </m:sSub>
        <m:r>
          <m:rPr/>
          <w:rPr>
            <w:rFonts w:hint="eastAsia" w:ascii="Cambria Math" w:hAnsi="Cambria Math" w:cs="Arial"/>
          </w:rPr>
          <m:t>）</m:t>
        </m:r>
      </m:oMath>
      <w:r>
        <w:rPr>
          <w:rFonts w:hint="eastAsia"/>
        </w:rPr>
        <w:t>—样板均匀性引入的不确定度。</w:t>
      </w:r>
    </w:p>
    <w:p w14:paraId="23073F43">
      <w:pPr>
        <w:pStyle w:val="54"/>
      </w:pPr>
      <w:r>
        <w:rPr>
          <w:rFonts w:hint="eastAsia"/>
        </w:rPr>
        <w:t>B.3 方差和灵敏系数</w:t>
      </w:r>
    </w:p>
    <w:p w14:paraId="6812BC2A">
      <w:pPr>
        <w:ind w:firstLine="480"/>
      </w:pPr>
      <w:r>
        <w:rPr>
          <w:rFonts w:hint="eastAsia"/>
        </w:rPr>
        <w:t>考虑到各输入量彼此独立，其合成标准不确定度为：</w:t>
      </w:r>
    </w:p>
    <w:p w14:paraId="31C97465">
      <w:pPr>
        <w:ind w:firstLine="0" w:firstLineChars="0"/>
      </w:pPr>
      <w:r>
        <w:tab/>
      </w:r>
      <m:oMath>
        <m:sSup>
          <m:sSupPr>
            <m:ctrlPr>
              <w:rPr>
                <w:rFonts w:ascii="Cambria Math" w:hAnsi="Cambria Math"/>
                <w:i/>
              </w:rPr>
            </m:ctrlPr>
          </m:sSupPr>
          <m:e>
            <m:r>
              <m:rPr/>
              <w:rPr>
                <w:rFonts w:hint="eastAsia" w:ascii="Cambria Math" w:hAnsi="Cambria Math"/>
              </w:rPr>
              <m:t>u</m:t>
            </m:r>
            <m:ctrlPr>
              <w:rPr>
                <w:rFonts w:ascii="Cambria Math" w:hAnsi="Cambria Math"/>
                <w:i/>
              </w:rPr>
            </m:ctrlPr>
          </m:e>
          <m:sup>
            <m:r>
              <m:rPr/>
              <w:rPr>
                <w:rFonts w:ascii="Cambria Math" w:hAnsi="Cambria Math"/>
              </w:rPr>
              <m:t>2</m:t>
            </m:r>
            <m:ctrlPr>
              <w:rPr>
                <w:rFonts w:ascii="Cambria Math" w:hAnsi="Cambria Math"/>
                <w:i/>
              </w:rPr>
            </m:ctrlPr>
          </m:sup>
        </m:sSup>
        <m:d>
          <m:dPr>
            <m:begChr m:val="（"/>
            <m:endChr m:val="）"/>
            <m:ctrlPr>
              <w:rPr>
                <w:rFonts w:ascii="Cambria Math" w:hAnsi="Cambria Math"/>
                <w:i/>
              </w:rPr>
            </m:ctrlPr>
          </m:dPr>
          <m:e>
            <m:r>
              <m:rPr/>
              <w:rPr>
                <w:rFonts w:ascii="Cambria Math" w:hAnsi="Cambria Math"/>
              </w:rPr>
              <m:t>W</m:t>
            </m:r>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hint="eastAsia" w:ascii="Cambria Math" w:hAnsi="Cambria Math"/>
              </w:rPr>
              <m:t>c</m:t>
            </m:r>
            <m:ctrlPr>
              <w:rPr>
                <w:rFonts w:ascii="Cambria Math" w:hAnsi="Cambria Math"/>
                <w:i/>
              </w:rPr>
            </m:ctrlPr>
          </m:e>
          <m:sub>
            <m:r>
              <m:rPr/>
              <w:rPr>
                <w:rFonts w:ascii="Cambria Math" w:hAnsi="Cambria Math"/>
              </w:rPr>
              <m:t>1</m:t>
            </m:r>
            <m:ctrlPr>
              <w:rPr>
                <w:rFonts w:ascii="Cambria Math" w:hAnsi="Cambria Math"/>
                <w:i/>
              </w:rPr>
            </m:ctrlPr>
          </m:sub>
          <m:sup>
            <m:r>
              <m:rPr/>
              <w:rPr>
                <w:rFonts w:ascii="Cambria Math" w:hAnsi="Cambria Math"/>
              </w:rPr>
              <m:t>2</m:t>
            </m:r>
            <m:ctrlPr>
              <w:rPr>
                <w:rFonts w:ascii="Cambria Math" w:hAnsi="Cambria Math"/>
                <w:i/>
              </w:rPr>
            </m:ctrlPr>
          </m:sup>
        </m:sSubSup>
        <m:sSup>
          <m:sSupPr>
            <m:ctrlPr>
              <w:rPr>
                <w:rFonts w:ascii="Cambria Math" w:hAnsi="Cambria Math"/>
                <w:i/>
              </w:rPr>
            </m:ctrlPr>
          </m:sSupPr>
          <m:e>
            <m:r>
              <m:rPr/>
              <w:rPr>
                <w:rFonts w:hint="eastAsia" w:ascii="Cambria Math" w:hAnsi="Cambria Math"/>
              </w:rPr>
              <m:t>u</m:t>
            </m:r>
            <m:ctrlPr>
              <w:rPr>
                <w:rFonts w:ascii="Cambria Math" w:hAnsi="Cambria Math"/>
                <w:i/>
              </w:rPr>
            </m:ctrlPr>
          </m:e>
          <m:sup>
            <m:r>
              <m:rPr/>
              <w:rPr>
                <w:rFonts w:ascii="Cambria Math" w:hAnsi="Cambria Math"/>
              </w:rPr>
              <m:t>2</m:t>
            </m:r>
            <m:ctrlPr>
              <w:rPr>
                <w:rFonts w:ascii="Cambria Math" w:hAnsi="Cambria Math"/>
                <w:i/>
              </w:rPr>
            </m:ctrlPr>
          </m:sup>
        </m:sSup>
        <m:d>
          <m:dPr>
            <m:begChr m:val="（"/>
            <m:endChr m:val="）"/>
            <m:ctrlPr>
              <w:rPr>
                <w:rFonts w:ascii="Cambria Math" w:hAnsi="Cambria Math"/>
                <w:i/>
              </w:rPr>
            </m:ctrlPr>
          </m:dPr>
          <m:e>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hint="eastAsia" w:ascii="Cambria Math" w:hAnsi="Cambria Math"/>
              </w:rPr>
              <m:t>c</m:t>
            </m:r>
            <m:ctrlPr>
              <w:rPr>
                <w:rFonts w:ascii="Cambria Math" w:hAnsi="Cambria Math"/>
                <w:i/>
              </w:rPr>
            </m:ctrlPr>
          </m:e>
          <m:sub>
            <m:r>
              <m:rPr/>
              <w:rPr>
                <w:rFonts w:ascii="Cambria Math" w:hAnsi="Cambria Math"/>
              </w:rPr>
              <m:t>2</m:t>
            </m:r>
            <m:ctrlPr>
              <w:rPr>
                <w:rFonts w:ascii="Cambria Math" w:hAnsi="Cambria Math"/>
                <w:i/>
              </w:rPr>
            </m:ctrlPr>
          </m:sub>
          <m:sup>
            <m:r>
              <m:rPr/>
              <w:rPr>
                <w:rFonts w:ascii="Cambria Math" w:hAnsi="Cambria Math"/>
              </w:rPr>
              <m:t>2</m:t>
            </m:r>
            <m:ctrlPr>
              <w:rPr>
                <w:rFonts w:ascii="Cambria Math" w:hAnsi="Cambria Math"/>
                <w:i/>
              </w:rPr>
            </m:ctrlPr>
          </m:sup>
        </m:sSubSup>
        <m:sSup>
          <m:sSupPr>
            <m:ctrlPr>
              <w:rPr>
                <w:rFonts w:ascii="Cambria Math" w:hAnsi="Cambria Math"/>
                <w:i/>
              </w:rPr>
            </m:ctrlPr>
          </m:sSupPr>
          <m:e>
            <m:r>
              <m:rPr/>
              <w:rPr>
                <w:rFonts w:hint="eastAsia" w:ascii="Cambria Math" w:hAnsi="Cambria Math"/>
              </w:rPr>
              <m:t>u</m:t>
            </m:r>
            <m:ctrlPr>
              <w:rPr>
                <w:rFonts w:ascii="Cambria Math" w:hAnsi="Cambria Math"/>
                <w:i/>
              </w:rPr>
            </m:ctrlPr>
          </m:e>
          <m:sup>
            <m:r>
              <m:rPr/>
              <w:rPr>
                <w:rFonts w:ascii="Cambria Math" w:hAnsi="Cambria Math"/>
              </w:rPr>
              <m:t>2</m:t>
            </m:r>
            <m:ctrlPr>
              <w:rPr>
                <w:rFonts w:ascii="Cambria Math" w:hAnsi="Cambria Math"/>
                <w:i/>
              </w:rPr>
            </m:ctrlPr>
          </m:sup>
        </m:sSup>
        <m:d>
          <m:dPr>
            <m:begChr m:val="（"/>
            <m:endChr m:val="）"/>
            <m:ctrlPr>
              <w:rPr>
                <w:rFonts w:ascii="Cambria Math" w:hAnsi="Cambria Math"/>
                <w:i/>
              </w:rPr>
            </m:ctrlPr>
          </m:dPr>
          <m:e>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e>
        </m:d>
      </m:oMath>
      <w:r>
        <w:tab/>
      </w:r>
      <w:r>
        <w:rPr>
          <w:rFonts w:hint="eastAsia"/>
        </w:rPr>
        <w:t>（B.3）</w:t>
      </w:r>
    </w:p>
    <w:p w14:paraId="18831811">
      <w:pPr>
        <w:ind w:firstLine="480"/>
      </w:pPr>
      <w:r>
        <w:rPr>
          <w:rFonts w:hint="eastAsia"/>
        </w:rPr>
        <w:t>其中</w:t>
      </w:r>
      <m:oMath>
        <m:sSub>
          <m:sSubPr>
            <m:ctrlPr>
              <w:rPr>
                <w:rFonts w:ascii="Cambria Math" w:hAnsi="Cambria Math"/>
              </w:rPr>
            </m:ctrlPr>
          </m:sSubPr>
          <m:e>
            <m:r>
              <m:rPr/>
              <w:rPr>
                <w:rFonts w:hint="eastAsia" w:ascii="Cambria Math" w:hAnsi="Cambria Math"/>
              </w:rPr>
              <m:t>c</m:t>
            </m:r>
            <m:ctrlPr>
              <w:rPr>
                <w:rFonts w:ascii="Cambria Math" w:hAnsi="Cambria Math"/>
              </w:rPr>
            </m:ctrlPr>
          </m:e>
          <m:sub>
            <m:r>
              <m:rPr>
                <m:sty m:val="p"/>
              </m:rPr>
              <w:rPr>
                <w:rFonts w:ascii="Cambria Math" w:hAnsi="Cambria Math"/>
              </w:rPr>
              <m:t>1</m:t>
            </m:r>
            <m:ctrlPr>
              <w:rPr>
                <w:rFonts w:ascii="Cambria Math" w:hAnsi="Cambria Math"/>
              </w:rPr>
            </m:ctrlPr>
          </m:sub>
        </m:sSub>
      </m:oMath>
      <w:r>
        <w:rPr>
          <w:rFonts w:hint="eastAsia"/>
        </w:rPr>
        <w:t>、</w:t>
      </w:r>
      <m:oMath>
        <m:sSub>
          <m:sSubPr>
            <m:ctrlPr>
              <w:rPr>
                <w:rFonts w:ascii="Cambria Math" w:hAnsi="Cambria Math"/>
              </w:rPr>
            </m:ctrlPr>
          </m:sSubPr>
          <m:e>
            <m:r>
              <m:rPr/>
              <w:rPr>
                <w:rFonts w:hint="eastAsia" w:ascii="Cambria Math" w:hAnsi="Cambria Math"/>
              </w:rPr>
              <m:t>c</m:t>
            </m:r>
            <m:ctrlPr>
              <w:rPr>
                <w:rFonts w:ascii="Cambria Math" w:hAnsi="Cambria Math"/>
              </w:rPr>
            </m:ctrlPr>
          </m:e>
          <m:sub>
            <m:r>
              <m:rPr>
                <m:sty m:val="p"/>
              </m:rPr>
              <w:rPr>
                <w:rFonts w:ascii="Cambria Math" w:hAnsi="Cambria Math"/>
              </w:rPr>
              <m:t>2</m:t>
            </m:r>
            <m:ctrlPr>
              <w:rPr>
                <w:rFonts w:ascii="Cambria Math" w:hAnsi="Cambria Math"/>
              </w:rPr>
            </m:ctrlPr>
          </m:sub>
        </m:sSub>
      </m:oMath>
      <w:r>
        <w:rPr>
          <w:rFonts w:hint="eastAsia"/>
        </w:rPr>
        <w:t>为灵敏系数，均取1。</w:t>
      </w:r>
    </w:p>
    <w:p w14:paraId="783F01B0">
      <w:pPr>
        <w:pStyle w:val="54"/>
      </w:pPr>
      <w:r>
        <w:rPr>
          <w:rFonts w:hint="eastAsia"/>
        </w:rPr>
        <w:t>B.4 微纳线宽标准样板测量不确定度评定</w:t>
      </w:r>
    </w:p>
    <w:p w14:paraId="2430C203">
      <w:pPr>
        <w:ind w:firstLine="480"/>
        <w:rPr>
          <w:rFonts w:ascii="Arial" w:hAnsi="Arial" w:cs="Arial"/>
        </w:rPr>
      </w:pPr>
      <w:r>
        <w:rPr>
          <w:rFonts w:hint="eastAsia" w:ascii="Arial" w:hAnsi="Arial" w:cs="Arial"/>
        </w:rPr>
        <w:t>本实例中采用的标准样板为线宽</w:t>
      </w:r>
      <w:r>
        <w:t>293.1μm</w:t>
      </w:r>
      <w:r>
        <w:rPr>
          <w:rFonts w:hint="eastAsia" w:ascii="Arial" w:hAnsi="Arial" w:cs="Arial"/>
        </w:rPr>
        <w:t>的纳米线宽样板。</w:t>
      </w:r>
    </w:p>
    <w:p w14:paraId="7D8FB757">
      <w:pPr>
        <w:pStyle w:val="56"/>
      </w:pPr>
      <w:r>
        <w:rPr>
          <w:rFonts w:hint="eastAsia"/>
        </w:rPr>
        <w:t>B.4.1 仪器测量引入的不确定度</w:t>
      </w:r>
    </w:p>
    <w:p w14:paraId="0D798509">
      <w:pPr>
        <w:ind w:firstLine="480"/>
      </w:pPr>
      <w:r>
        <w:rPr>
          <w:rFonts w:hint="eastAsia"/>
        </w:rPr>
        <w:t>本规范中，紫外光学显微镜测量微纳线宽的最大示值误差（MPE）为</w:t>
      </w:r>
      <w:r>
        <w:t>±</w:t>
      </w:r>
      <w:r>
        <w:rPr>
          <w:rFonts w:hint="eastAsia"/>
        </w:rPr>
        <w:t>6</w:t>
      </w:r>
      <w:r>
        <w:t>um</w:t>
      </w:r>
      <w:r>
        <w:rPr>
          <w:rFonts w:hint="eastAsia"/>
        </w:rPr>
        <w:t>。按照均匀分布，包含因子k=</w:t>
      </w:r>
      <m:oMath>
        <m:rad>
          <m:radPr>
            <m:degHide m:val="1"/>
            <m:ctrlPr>
              <w:rPr>
                <w:rFonts w:ascii="Cambria Math" w:hAnsi="Cambria Math"/>
                <w:i/>
              </w:rPr>
            </m:ctrlPr>
          </m:radPr>
          <m:deg>
            <m:ctrlPr>
              <w:rPr>
                <w:rFonts w:ascii="Cambria Math" w:hAnsi="Cambria Math"/>
                <w:i/>
              </w:rPr>
            </m:ctrlPr>
          </m:deg>
          <m:e>
            <m:r>
              <m:rPr/>
              <w:rPr>
                <w:rFonts w:ascii="Cambria Math" w:hAnsi="Cambria Math"/>
              </w:rPr>
              <m:t>3</m:t>
            </m:r>
            <m:ctrlPr>
              <w:rPr>
                <w:rFonts w:ascii="Cambria Math" w:hAnsi="Cambria Math"/>
                <w:i/>
              </w:rPr>
            </m:ctrlPr>
          </m:e>
        </m:rad>
      </m:oMath>
      <w:r>
        <w:rPr>
          <w:rFonts w:hint="eastAsia"/>
        </w:rPr>
        <w:t>，因此可得因此可得</w:t>
      </w:r>
    </w:p>
    <w:p w14:paraId="09F16AA3">
      <w:pPr>
        <w:pStyle w:val="56"/>
      </w:pPr>
      <w:r>
        <w:rPr>
          <w:rFonts w:eastAsia="宋体"/>
        </w:rPr>
        <w:tab/>
      </w:r>
      <m:oMath>
        <m:r>
          <m:rPr/>
          <w:rPr>
            <w:rFonts w:hint="eastAsia" w:ascii="Cambria Math" w:hAnsi="Cambria Math" w:cs="Arial"/>
          </w:rPr>
          <m:t>u</m:t>
        </m:r>
        <m:d>
          <m:dPr>
            <m:begChr m:val="（"/>
            <m:endChr m:val="）"/>
            <m:ctrlPr>
              <w:rPr>
                <w:rFonts w:ascii="Cambria Math" w:hAnsi="Cambria Math" w:cs="Arial"/>
                <w:i/>
              </w:rPr>
            </m:ctrlPr>
          </m:dPr>
          <m:e>
            <m:sSub>
              <m:sSubPr>
                <m:ctrlPr>
                  <w:rPr>
                    <w:rFonts w:ascii="Cambria Math" w:hAnsi="Cambria Math" w:eastAsia="宋体" w:cs="Arial"/>
                    <w:i/>
                  </w:rPr>
                </m:ctrlPr>
              </m:sSubPr>
              <m:e>
                <m:r>
                  <m:rPr/>
                  <w:rPr>
                    <w:rFonts w:ascii="Cambria Math" w:hAnsi="Cambria Math" w:cs="Arial"/>
                  </w:rPr>
                  <m:t>W</m:t>
                </m:r>
                <m:ctrlPr>
                  <w:rPr>
                    <w:rFonts w:ascii="Cambria Math" w:hAnsi="Cambria Math" w:eastAsia="宋体" w:cs="Arial"/>
                    <w:i/>
                  </w:rPr>
                </m:ctrlPr>
              </m:e>
              <m:sub>
                <m:r>
                  <m:rPr/>
                  <w:rPr>
                    <w:rFonts w:ascii="Cambria Math" w:hAnsi="Cambria Math" w:cs="Arial"/>
                  </w:rPr>
                  <m:t>1</m:t>
                </m:r>
                <m:ctrlPr>
                  <w:rPr>
                    <w:rFonts w:ascii="Cambria Math" w:hAnsi="Cambria Math" w:eastAsia="宋体" w:cs="Arial"/>
                    <w:i/>
                  </w:rPr>
                </m:ctrlPr>
              </m:sub>
            </m:sSub>
            <m:ctrlPr>
              <w:rPr>
                <w:rFonts w:ascii="Cambria Math" w:hAnsi="Cambria Math" w:cs="Arial"/>
                <w:i/>
              </w:rPr>
            </m:ctrlPr>
          </m:e>
        </m:d>
        <m:r>
          <m:rPr/>
          <w:rPr>
            <w:rFonts w:ascii="Cambria Math" w:hAnsi="Cambria Math" w:cs="Arial"/>
          </w:rPr>
          <m:t>=</m:t>
        </m:r>
        <m:f>
          <m:fPr>
            <m:ctrlPr>
              <w:rPr>
                <w:rFonts w:ascii="Cambria Math" w:hAnsi="Cambria Math" w:cs="Arial"/>
                <w:i/>
              </w:rPr>
            </m:ctrlPr>
          </m:fPr>
          <m:num>
            <m:r>
              <m:rPr/>
              <w:rPr>
                <w:rFonts w:ascii="Cambria Math" w:hAnsi="Cambria Math" w:cs="Arial"/>
              </w:rPr>
              <m:t>6</m:t>
            </m:r>
            <m:ctrlPr>
              <w:rPr>
                <w:rFonts w:ascii="Cambria Math" w:hAnsi="Cambria Math" w:cs="Arial"/>
                <w:i/>
              </w:rPr>
            </m:ctrlPr>
          </m:num>
          <m:den>
            <m:rad>
              <m:radPr>
                <m:degHide m:val="1"/>
                <m:ctrlPr>
                  <w:rPr>
                    <w:rFonts w:ascii="Cambria Math" w:hAnsi="Cambria Math" w:cs="Arial"/>
                    <w:i/>
                  </w:rPr>
                </m:ctrlPr>
              </m:radPr>
              <m:deg>
                <m:ctrlPr>
                  <w:rPr>
                    <w:rFonts w:ascii="Cambria Math" w:hAnsi="Cambria Math" w:cs="Arial"/>
                    <w:i/>
                  </w:rPr>
                </m:ctrlPr>
              </m:deg>
              <m:e>
                <m:r>
                  <m:rPr/>
                  <w:rPr>
                    <w:rFonts w:ascii="Cambria Math" w:hAnsi="Cambria Math" w:cs="Arial"/>
                  </w:rPr>
                  <m:t>3</m:t>
                </m:r>
                <m:ctrlPr>
                  <w:rPr>
                    <w:rFonts w:ascii="Cambria Math" w:hAnsi="Cambria Math" w:cs="Arial"/>
                    <w:i/>
                  </w:rPr>
                </m:ctrlPr>
              </m:e>
            </m:rad>
            <m:ctrlPr>
              <w:rPr>
                <w:rFonts w:ascii="Cambria Math" w:hAnsi="Cambria Math" w:cs="Arial"/>
                <w:i/>
              </w:rPr>
            </m:ctrlPr>
          </m:den>
        </m:f>
        <m:r>
          <m:rPr/>
          <w:rPr>
            <w:rFonts w:ascii="Cambria Math" w:hAnsi="Cambria Math" w:cs="Arial"/>
          </w:rPr>
          <m:t>=3.46</m:t>
        </m:r>
      </m:oMath>
      <w:r>
        <w:rPr>
          <w:rFonts w:eastAsia="宋体"/>
        </w:rPr>
        <w:t>μm</w:t>
      </w:r>
      <w:r>
        <w:rPr>
          <w:rFonts w:hint="eastAsia"/>
        </w:rPr>
        <w:t xml:space="preserve"> </w:t>
      </w:r>
      <w:r>
        <w:tab/>
      </w:r>
      <w:r>
        <w:rPr>
          <w:rFonts w:hint="eastAsia"/>
        </w:rPr>
        <w:t>(B.4)</w:t>
      </w:r>
    </w:p>
    <w:p w14:paraId="0D94A3D1">
      <w:pPr>
        <w:pStyle w:val="56"/>
      </w:pPr>
      <w:r>
        <w:rPr>
          <w:rFonts w:hint="eastAsia"/>
        </w:rPr>
        <w:t>B.4.2 样板均匀性引入的不确定度</w:t>
      </w:r>
    </w:p>
    <w:p w14:paraId="1A5D5009">
      <w:pPr>
        <w:ind w:firstLine="480"/>
        <w:rPr>
          <w:rFonts w:ascii="Arial" w:hAnsi="Arial" w:cs="Arial"/>
        </w:rPr>
      </w:pPr>
      <w:r>
        <w:rPr>
          <w:rFonts w:hint="eastAsia"/>
        </w:rPr>
        <w:t>对选用的微纳线宽标准样板三个不同位置分别进行连续重复测量，计算测量结果的实验标准偏差，采用A类方法进行不确定度评定。</w:t>
      </w:r>
    </w:p>
    <w:p w14:paraId="08D42B36">
      <w:pPr>
        <w:ind w:firstLine="0" w:firstLineChars="0"/>
        <w:rPr>
          <w:rFonts w:ascii="Arial" w:hAnsi="Arial" w:cs="Arial"/>
        </w:rPr>
      </w:pPr>
      <w:r>
        <w:rPr>
          <w:rFonts w:ascii="Arial" w:hAnsi="Arial" w:cs="Arial"/>
        </w:rPr>
        <w:tab/>
      </w:r>
      <m:oMath>
        <w:bookmarkStart w:id="64" w:name="OLE_LINK3"/>
        <m:r>
          <m:rPr/>
          <w:rPr>
            <w:rFonts w:hint="eastAsia" w:ascii="Cambria Math" w:hAnsi="Cambria Math" w:cs="Arial"/>
          </w:rPr>
          <m:t>u</m:t>
        </m:r>
        <m:d>
          <m:dPr>
            <m:begChr m:val="（"/>
            <m:endChr m:val="）"/>
            <m:ctrlPr>
              <w:rPr>
                <w:rFonts w:ascii="Cambria Math" w:hAnsi="Cambria Math" w:cs="Arial"/>
                <w:i/>
              </w:rPr>
            </m:ctrlPr>
          </m:dPr>
          <m:e>
            <m:sSub>
              <m:sSubPr>
                <m:ctrlPr>
                  <w:rPr>
                    <w:rFonts w:ascii="Cambria Math" w:hAnsi="Cambria Math" w:cs="Arial"/>
                    <w:i/>
                  </w:rPr>
                </m:ctrlPr>
              </m:sSubPr>
              <m:e>
                <m:r>
                  <m:rPr/>
                  <w:rPr>
                    <w:rFonts w:ascii="Cambria Math" w:hAnsi="Cambria Math" w:cs="Arial"/>
                  </w:rPr>
                  <m:t>W</m:t>
                </m:r>
                <m:ctrlPr>
                  <w:rPr>
                    <w:rFonts w:ascii="Cambria Math" w:hAnsi="Cambria Math" w:cs="Arial"/>
                    <w:i/>
                  </w:rPr>
                </m:ctrlPr>
              </m:e>
              <m:sub>
                <m:r>
                  <m:rPr/>
                  <w:rPr>
                    <w:rFonts w:ascii="Cambria Math" w:hAnsi="Cambria Math" w:cs="Arial"/>
                  </w:rPr>
                  <m:t>2</m:t>
                </m:r>
                <m:ctrlPr>
                  <w:rPr>
                    <w:rFonts w:ascii="Cambria Math" w:hAnsi="Cambria Math" w:cs="Arial"/>
                    <w:i/>
                  </w:rPr>
                </m:ctrlPr>
              </m:sub>
            </m:sSub>
            <m:ctrlPr>
              <w:rPr>
                <w:rFonts w:ascii="Cambria Math" w:hAnsi="Cambria Math" w:cs="Arial"/>
                <w:i/>
              </w:rPr>
            </m:ctrlPr>
          </m:e>
        </m:d>
        <m:r>
          <m:rPr/>
          <w:rPr>
            <w:rFonts w:ascii="Cambria Math" w:hAnsi="Cambria Math" w:cs="Arial"/>
          </w:rPr>
          <m:t>=0.</m:t>
        </m:r>
        <w:bookmarkEnd w:id="64"/>
        <m:r>
          <m:rPr/>
          <w:rPr>
            <w:rFonts w:ascii="Cambria Math" w:hAnsi="Cambria Math" w:cs="Arial"/>
          </w:rPr>
          <m:t>36</m:t>
        </m:r>
      </m:oMath>
      <w:r>
        <w:t>μm</w:t>
      </w:r>
      <w:r>
        <w:rPr>
          <w:rFonts w:ascii="Arial" w:hAnsi="Arial" w:cs="Arial"/>
        </w:rPr>
        <w:tab/>
      </w:r>
      <w:r>
        <w:rPr>
          <w:rFonts w:hint="eastAsia"/>
        </w:rPr>
        <w:t>(B</w:t>
      </w:r>
      <w:r>
        <w:t>.5</w:t>
      </w:r>
      <w:r>
        <w:rPr>
          <w:rFonts w:hint="eastAsia"/>
        </w:rPr>
        <w:t>)</w:t>
      </w:r>
    </w:p>
    <w:p w14:paraId="4E8A6419">
      <w:pPr>
        <w:pStyle w:val="56"/>
      </w:pPr>
      <w:r>
        <w:rPr>
          <w:rFonts w:hint="eastAsia"/>
        </w:rPr>
        <w:t>B.4.4 合成标准不确定度</w:t>
      </w:r>
    </w:p>
    <w:p w14:paraId="2E2EF6BD">
      <w:pPr>
        <w:ind w:firstLine="0" w:firstLineChars="0"/>
      </w:pPr>
      <w:r>
        <w:rPr>
          <w:rFonts w:eastAsia="黑体"/>
          <w:iCs/>
        </w:rPr>
        <w:tab/>
      </w:r>
      <m:oMath>
        <m:r>
          <m:rPr/>
          <w:rPr>
            <w:rFonts w:hint="eastAsia" w:ascii="Cambria Math" w:hAnsi="Cambria Math"/>
          </w:rPr>
          <m:t>u</m:t>
        </m:r>
        <m:d>
          <m:dPr>
            <m:begChr m:val="（"/>
            <m:endChr m:val="）"/>
            <m:ctrlPr>
              <w:rPr>
                <w:rFonts w:ascii="Cambria Math" w:hAnsi="Cambria Math"/>
                <w:i/>
                <w:iCs/>
              </w:rPr>
            </m:ctrlPr>
          </m:dPr>
          <m:e>
            <m:r>
              <m:rPr/>
              <w:rPr>
                <w:rFonts w:ascii="Cambria Math" w:hAnsi="Cambria Math"/>
              </w:rPr>
              <m:t>W</m:t>
            </m:r>
            <m:ctrlPr>
              <w:rPr>
                <w:rFonts w:ascii="Cambria Math" w:hAnsi="Cambria Math"/>
                <w:i/>
                <w:iCs/>
              </w:rPr>
            </m:ctrlPr>
          </m:e>
        </m:d>
        <m:r>
          <m:rPr/>
          <w:rPr>
            <w:rFonts w:ascii="Cambria Math" w:hAnsi="Cambria Math"/>
          </w:rPr>
          <m:t>=</m:t>
        </m:r>
        <m:rad>
          <m:radPr>
            <m:degHide m:val="1"/>
            <m:ctrlPr>
              <w:rPr>
                <w:rFonts w:ascii="Cambria Math" w:hAnsi="Cambria Math"/>
                <w:i/>
                <w:iCs/>
              </w:rPr>
            </m:ctrlPr>
          </m:radPr>
          <m:deg>
            <m:ctrlPr>
              <w:rPr>
                <w:rFonts w:ascii="Cambria Math" w:hAnsi="Cambria Math"/>
                <w:i/>
                <w:iCs/>
              </w:rPr>
            </m:ctrlPr>
          </m:deg>
          <m:e>
            <m:sSup>
              <w:bookmarkStart w:id="65" w:name="OLE_LINK4"/>
              <m:sSupPr>
                <m:ctrlPr>
                  <w:rPr>
                    <w:rFonts w:ascii="Cambria Math" w:hAnsi="Cambria Math"/>
                    <w:i/>
                    <w:iCs/>
                  </w:rPr>
                </m:ctrlPr>
              </m:sSupPr>
              <m:e>
                <m:r>
                  <m:rPr/>
                  <w:rPr>
                    <w:rFonts w:hint="eastAsia" w:ascii="Cambria Math" w:hAnsi="Cambria Math"/>
                  </w:rPr>
                  <m:t>u</m:t>
                </m:r>
                <m:ctrlPr>
                  <w:rPr>
                    <w:rFonts w:ascii="Cambria Math" w:hAnsi="Cambria Math"/>
                    <w:i/>
                    <w:iCs/>
                  </w:rPr>
                </m:ctrlPr>
              </m:e>
              <m:sup>
                <m:r>
                  <m:rPr/>
                  <w:rPr>
                    <w:rFonts w:ascii="Cambria Math" w:hAnsi="Cambria Math"/>
                  </w:rPr>
                  <m:t>2</m:t>
                </m:r>
                <m:ctrlPr>
                  <w:rPr>
                    <w:rFonts w:ascii="Cambria Math" w:hAnsi="Cambria Math"/>
                    <w:i/>
                    <w:iCs/>
                  </w:rPr>
                </m:ctrlPr>
              </m:sup>
            </m:sSup>
            <m:d>
              <m:dPr>
                <m:ctrlPr>
                  <w:rPr>
                    <w:rFonts w:ascii="Cambria Math" w:hAnsi="Cambria Math"/>
                    <w:i/>
                    <w:iCs/>
                  </w:rPr>
                </m:ctrlPr>
              </m:dPr>
              <m:e>
                <m:sSub>
                  <m:sSubPr>
                    <m:ctrlPr>
                      <w:rPr>
                        <w:rFonts w:ascii="Cambria Math" w:hAnsi="Cambria Math"/>
                        <w:i/>
                        <w:iCs/>
                      </w:rPr>
                    </m:ctrlPr>
                  </m:sSubPr>
                  <m:e>
                    <m:r>
                      <m:rPr/>
                      <w:rPr>
                        <w:rFonts w:ascii="Cambria Math" w:hAnsi="Cambria Math"/>
                      </w:rPr>
                      <m:t>W</m:t>
                    </m:r>
                    <m:ctrlPr>
                      <w:rPr>
                        <w:rFonts w:ascii="Cambria Math" w:hAnsi="Cambria Math"/>
                        <w:i/>
                        <w:iCs/>
                      </w:rPr>
                    </m:ctrlPr>
                  </m:e>
                  <m:sub>
                    <m:r>
                      <m:rPr/>
                      <w:rPr>
                        <w:rFonts w:ascii="Cambria Math" w:hAnsi="Cambria Math"/>
                      </w:rPr>
                      <m:t>1</m:t>
                    </m:r>
                    <m:ctrlPr>
                      <w:rPr>
                        <w:rFonts w:ascii="Cambria Math" w:hAnsi="Cambria Math"/>
                        <w:i/>
                        <w:iCs/>
                      </w:rPr>
                    </m:ctrlPr>
                  </m:sub>
                </m:sSub>
                <m:ctrlPr>
                  <w:rPr>
                    <w:rFonts w:ascii="Cambria Math" w:hAnsi="Cambria Math"/>
                    <w:i/>
                    <w:iCs/>
                  </w:rPr>
                </m:ctrlPr>
                <w:bookmarkEnd w:id="65"/>
              </m:e>
            </m:d>
            <m:r>
              <m:rPr/>
              <w:rPr>
                <w:rFonts w:ascii="Cambria Math" w:hAnsi="Cambria Math"/>
              </w:rPr>
              <m:t>+</m:t>
            </m:r>
            <m:sSup>
              <m:sSupPr>
                <m:ctrlPr>
                  <w:rPr>
                    <w:rFonts w:ascii="Cambria Math" w:hAnsi="Cambria Math"/>
                    <w:i/>
                    <w:iCs/>
                  </w:rPr>
                </m:ctrlPr>
              </m:sSupPr>
              <m:e>
                <m:r>
                  <m:rPr/>
                  <w:rPr>
                    <w:rFonts w:hint="eastAsia" w:ascii="Cambria Math" w:hAnsi="Cambria Math"/>
                  </w:rPr>
                  <m:t>u</m:t>
                </m:r>
                <m:ctrlPr>
                  <w:rPr>
                    <w:rFonts w:ascii="Cambria Math" w:hAnsi="Cambria Math"/>
                    <w:i/>
                    <w:iCs/>
                  </w:rPr>
                </m:ctrlPr>
              </m:e>
              <m:sup>
                <m:r>
                  <m:rPr/>
                  <w:rPr>
                    <w:rFonts w:ascii="Cambria Math" w:hAnsi="Cambria Math"/>
                  </w:rPr>
                  <m:t>2</m:t>
                </m:r>
                <m:ctrlPr>
                  <w:rPr>
                    <w:rFonts w:ascii="Cambria Math" w:hAnsi="Cambria Math"/>
                    <w:i/>
                    <w:iCs/>
                  </w:rPr>
                </m:ctrlPr>
              </m:sup>
            </m:sSup>
            <m:d>
              <m:dPr>
                <m:ctrlPr>
                  <w:rPr>
                    <w:rFonts w:ascii="Cambria Math" w:hAnsi="Cambria Math"/>
                    <w:i/>
                    <w:iCs/>
                  </w:rPr>
                </m:ctrlPr>
              </m:dPr>
              <m:e>
                <m:sSub>
                  <m:sSubPr>
                    <m:ctrlPr>
                      <w:rPr>
                        <w:rFonts w:ascii="Cambria Math" w:hAnsi="Cambria Math"/>
                        <w:i/>
                        <w:iCs/>
                      </w:rPr>
                    </m:ctrlPr>
                  </m:sSubPr>
                  <m:e>
                    <m:r>
                      <m:rPr/>
                      <w:rPr>
                        <w:rFonts w:ascii="Cambria Math" w:hAnsi="Cambria Math"/>
                      </w:rPr>
                      <m:t>W</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i/>
                    <w:iCs/>
                  </w:rPr>
                </m:ctrlPr>
              </m:e>
            </m:d>
            <m:ctrlPr>
              <w:rPr>
                <w:rFonts w:ascii="Cambria Math" w:hAnsi="Cambria Math"/>
                <w:i/>
                <w:iCs/>
              </w:rPr>
            </m:ctrlPr>
          </m:e>
        </m:rad>
        <m:r>
          <m:rPr/>
          <w:rPr>
            <w:rFonts w:ascii="Cambria Math" w:hAnsi="Cambria Math"/>
          </w:rPr>
          <m:t>=3.48</m:t>
        </m:r>
      </m:oMath>
      <w:r>
        <w:t>μm</w:t>
      </w:r>
      <w:r>
        <w:rPr>
          <w:rFonts w:eastAsia="黑体"/>
          <w:iCs/>
        </w:rPr>
        <w:tab/>
      </w:r>
      <w:r>
        <w:rPr>
          <w:rFonts w:hint="eastAsia"/>
        </w:rPr>
        <w:t>(B.6)</w:t>
      </w:r>
    </w:p>
    <w:p w14:paraId="5ABC7A77">
      <w:pPr>
        <w:pStyle w:val="56"/>
      </w:pPr>
      <w:r>
        <w:rPr>
          <w:rFonts w:hint="eastAsia"/>
        </w:rPr>
        <w:t>B.4.5 扩展不确定度</w:t>
      </w:r>
    </w:p>
    <w:p w14:paraId="0BB2FDDA">
      <w:pPr>
        <w:ind w:firstLine="0" w:firstLineChars="0"/>
        <w:rPr>
          <w:i/>
          <w:iCs/>
        </w:rPr>
      </w:pPr>
      <w:r>
        <w:rPr>
          <w:rFonts w:eastAsia="黑体"/>
          <w:iCs/>
        </w:rPr>
        <w:tab/>
      </w:r>
      <m:oMath>
        <m:r>
          <m:rPr/>
          <w:rPr>
            <w:rFonts w:ascii="Cambria Math" w:hAnsi="Cambria Math"/>
          </w:rPr>
          <m:t>U</m:t>
        </m:r>
        <m:d>
          <m:dPr>
            <m:ctrlPr>
              <w:rPr>
                <w:rFonts w:ascii="Cambria Math" w:hAnsi="Cambria Math"/>
                <w:i/>
                <w:iCs/>
              </w:rPr>
            </m:ctrlPr>
          </m:dPr>
          <m:e>
            <m:r>
              <m:rPr/>
              <w:rPr>
                <w:rFonts w:ascii="Cambria Math" w:hAnsi="Cambria Math"/>
              </w:rPr>
              <m:t>W</m:t>
            </m:r>
            <m:ctrlPr>
              <w:rPr>
                <w:rFonts w:ascii="Cambria Math" w:hAnsi="Cambria Math"/>
                <w:i/>
                <w:iCs/>
              </w:rPr>
            </m:ctrlPr>
          </m:e>
        </m:d>
        <m:r>
          <m:rPr/>
          <w:rPr>
            <w:rFonts w:ascii="Cambria Math" w:hAnsi="Cambria Math"/>
          </w:rPr>
          <m:t>=</m:t>
        </m:r>
        <m:r>
          <m:rPr/>
          <w:rPr>
            <w:rFonts w:hint="eastAsia" w:ascii="Cambria Math" w:hAnsi="Cambria Math"/>
          </w:rPr>
          <m:t>k</m:t>
        </m:r>
        <m:r>
          <m:rPr/>
          <w:rPr>
            <w:rFonts w:ascii="Cambria Math" w:hAnsi="Cambria Math"/>
          </w:rPr>
          <m:t>×</m:t>
        </m:r>
        <m:r>
          <m:rPr/>
          <w:rPr>
            <w:rFonts w:hint="eastAsia" w:ascii="Cambria Math" w:hAnsi="Cambria Math"/>
          </w:rPr>
          <m:t>u</m:t>
        </m:r>
        <m:d>
          <m:dPr>
            <m:begChr m:val="（"/>
            <m:endChr m:val="）"/>
            <m:ctrlPr>
              <w:rPr>
                <w:rFonts w:ascii="Cambria Math" w:hAnsi="Cambria Math"/>
                <w:i/>
                <w:iCs/>
              </w:rPr>
            </m:ctrlPr>
          </m:dPr>
          <m:e>
            <m:r>
              <m:rPr/>
              <w:rPr>
                <w:rFonts w:ascii="Cambria Math" w:hAnsi="Cambria Math"/>
              </w:rPr>
              <m:t>W</m:t>
            </m:r>
            <m:ctrlPr>
              <w:rPr>
                <w:rFonts w:ascii="Cambria Math" w:hAnsi="Cambria Math"/>
                <w:i/>
                <w:iCs/>
              </w:rPr>
            </m:ctrlPr>
          </m:e>
        </m:d>
        <m:r>
          <m:rPr/>
          <w:rPr>
            <w:rFonts w:ascii="Cambria Math" w:hAnsi="Cambria Math"/>
          </w:rPr>
          <m:t>=</m:t>
        </m:r>
      </m:oMath>
      <w:r>
        <w:rPr>
          <w:rFonts w:hint="eastAsia"/>
        </w:rPr>
        <w:t>6.96</w:t>
      </w:r>
      <w:r>
        <w:t>μm</w:t>
      </w:r>
      <w:r>
        <w:rPr>
          <w:i/>
          <w:iCs/>
        </w:rPr>
        <w:tab/>
      </w:r>
      <w:r>
        <w:rPr>
          <w:rFonts w:hint="eastAsia"/>
        </w:rPr>
        <w:t>(B.7)</w:t>
      </w:r>
    </w:p>
    <w:p w14:paraId="27F6D420">
      <w:pPr>
        <w:pStyle w:val="2"/>
        <w:spacing w:before="163" w:beforeLines="50" w:after="163" w:afterLines="50"/>
        <w:rPr>
          <w:rStyle w:val="24"/>
          <w:rFonts w:hint="eastAsia" w:ascii="黑体" w:hAnsi="黑体"/>
          <w:sz w:val="28"/>
          <w:szCs w:val="28"/>
        </w:rPr>
      </w:pPr>
      <w:r>
        <w:rPr>
          <w:rFonts w:ascii="Arial" w:hAnsi="Arial" w:cs="Arial"/>
        </w:rPr>
        <w:br w:type="page"/>
      </w:r>
      <w:bookmarkStart w:id="66" w:name="_Toc177550258"/>
      <w:bookmarkStart w:id="67" w:name="_Toc179359017"/>
      <w:r>
        <w:rPr>
          <w:rFonts w:hint="eastAsia"/>
          <w:sz w:val="28"/>
          <w:szCs w:val="28"/>
        </w:rPr>
        <w:t>附录</w:t>
      </w:r>
      <w:bookmarkEnd w:id="66"/>
      <w:r>
        <w:rPr>
          <w:rFonts w:hint="eastAsia"/>
          <w:sz w:val="28"/>
          <w:szCs w:val="28"/>
        </w:rPr>
        <w:t>C</w:t>
      </w:r>
      <w:r>
        <w:rPr>
          <w:rStyle w:val="24"/>
          <w:rFonts w:hint="eastAsia" w:ascii="黑体" w:hAnsi="黑体"/>
          <w:sz w:val="28"/>
          <w:szCs w:val="28"/>
        </w:rPr>
        <w:t xml:space="preserve"> </w:t>
      </w:r>
    </w:p>
    <w:p w14:paraId="79132033">
      <w:pPr>
        <w:pStyle w:val="2"/>
        <w:spacing w:before="163" w:beforeLines="50" w:after="163" w:afterLines="50"/>
        <w:jc w:val="center"/>
        <w:rPr>
          <w:rFonts w:hint="eastAsia" w:ascii="黑体" w:hAnsi="黑体"/>
          <w:sz w:val="28"/>
          <w:szCs w:val="28"/>
        </w:rPr>
      </w:pPr>
      <w:r>
        <w:rPr>
          <w:rFonts w:hint="eastAsia" w:cs="黑体"/>
          <w:sz w:val="28"/>
          <w:szCs w:val="28"/>
        </w:rPr>
        <w:t>紫外光学法微纳栅格校准的不确定度评定示例</w:t>
      </w:r>
      <w:bookmarkEnd w:id="67"/>
    </w:p>
    <w:p w14:paraId="6DC74F38">
      <w:pPr>
        <w:pStyle w:val="54"/>
        <w:tabs>
          <w:tab w:val="center" w:pos="4535"/>
          <w:tab w:val="clear" w:pos="4150"/>
          <w:tab w:val="clear" w:pos="10103"/>
        </w:tabs>
      </w:pPr>
      <w:r>
        <w:rPr>
          <w:rFonts w:hint="eastAsia"/>
        </w:rPr>
        <w:t>C.1 测量方法</w:t>
      </w:r>
    </w:p>
    <w:p w14:paraId="1236F994">
      <w:pPr>
        <w:ind w:firstLine="480"/>
      </w:pPr>
      <w:r>
        <w:rPr>
          <w:rFonts w:hint="eastAsia"/>
        </w:rPr>
        <w:t>在工作台上放置微纳栅格样板，调焦至成像清晰，并细微调整样板位置，使样板成像于影像屏幕的中间合适位置，利用仪器测量软件采集测量。</w:t>
      </w:r>
    </w:p>
    <w:p w14:paraId="62115B56">
      <w:pPr>
        <w:pStyle w:val="54"/>
      </w:pPr>
      <w:bookmarkStart w:id="68" w:name="OLE_LINK5"/>
      <w:r>
        <w:rPr>
          <w:rFonts w:hint="eastAsia"/>
        </w:rPr>
        <w:t>C.2 测量模型</w:t>
      </w:r>
    </w:p>
    <w:bookmarkEnd w:id="68"/>
    <w:p w14:paraId="4EE9D167">
      <w:pPr>
        <w:ind w:firstLine="480"/>
      </w:pPr>
      <w:r>
        <w:rPr>
          <w:rFonts w:hint="eastAsia"/>
        </w:rPr>
        <w:t>在标准参考温度20</w:t>
      </w:r>
      <w:r>
        <w:rPr>
          <w:rFonts w:hint="eastAsia" w:ascii="宋体" w:hAnsi="宋体"/>
        </w:rPr>
        <w:t>℃下，</w:t>
      </w:r>
      <w:r>
        <w:rPr>
          <w:rFonts w:hint="eastAsia"/>
        </w:rPr>
        <w:t>测量状态下被校准样板的栅格间距是通过直接测量得到的，因此</w:t>
      </w:r>
    </w:p>
    <w:p w14:paraId="7B132A1E">
      <w:pPr>
        <w:ind w:firstLine="480"/>
        <w:rPr>
          <w:vertAlign w:val="subscript"/>
        </w:rPr>
      </w:pPr>
      <w:r>
        <w:tab/>
      </w:r>
      <m:oMath>
        <m:r>
          <m:rPr/>
          <w:rPr>
            <w:rFonts w:hint="eastAsia" w:ascii="Cambria Math" w:hAnsi="Cambria Math"/>
          </w:rPr>
          <m:t>y</m:t>
        </m:r>
        <m:r>
          <m:rPr/>
          <w:rPr>
            <w:rFonts w:ascii="Cambria Math" w:hAnsi="Cambria Math"/>
          </w:rPr>
          <m:t>=</m:t>
        </m:r>
        <m:acc>
          <m:accPr>
            <m:chr m:val="̅"/>
            <m:ctrlPr>
              <w:rPr>
                <w:rFonts w:ascii="Cambria Math" w:hAnsi="Cambria Math"/>
                <w:i/>
              </w:rPr>
            </m:ctrlPr>
          </m:accPr>
          <m:e>
            <m:r>
              <m:rPr/>
              <w:rPr>
                <w:rFonts w:ascii="Cambria Math" w:hAnsi="Cambria Math"/>
              </w:rPr>
              <m:t>P</m:t>
            </m:r>
            <m:ctrlPr>
              <w:rPr>
                <w:rFonts w:ascii="Cambria Math" w:hAnsi="Cambria Math"/>
                <w:i/>
              </w:rPr>
            </m:ctrlPr>
          </m:e>
        </m:acc>
      </m:oMath>
      <w:r>
        <w:tab/>
      </w:r>
      <w:r>
        <w:rPr>
          <w:rFonts w:hint="eastAsia"/>
        </w:rPr>
        <w:t>（C.1）</w:t>
      </w:r>
    </w:p>
    <w:p w14:paraId="2943A89A">
      <w:pPr>
        <w:ind w:firstLine="480"/>
        <w:rPr>
          <w:rFonts w:hint="eastAsia" w:ascii="宋体" w:hAnsi="宋体"/>
        </w:rPr>
      </w:pPr>
      <w:r>
        <w:rPr>
          <w:rFonts w:hint="eastAsia" w:ascii="宋体" w:hAnsi="宋体"/>
        </w:rPr>
        <w:t>式中，</w:t>
      </w:r>
    </w:p>
    <w:p w14:paraId="23A7DE69">
      <w:pPr>
        <w:ind w:firstLine="480"/>
      </w:pPr>
      <m:oMath>
        <m:r>
          <m:rPr/>
          <w:rPr>
            <w:rFonts w:hint="eastAsia" w:ascii="Cambria Math" w:hAnsi="Cambria Math"/>
          </w:rPr>
          <m:t>y</m:t>
        </m:r>
      </m:oMath>
      <w:r>
        <w:rPr>
          <w:rFonts w:hint="eastAsia"/>
        </w:rPr>
        <w:t>—被测样板的测量结果；</w:t>
      </w:r>
    </w:p>
    <w:p w14:paraId="7A0C1A0A">
      <w:pPr>
        <w:ind w:firstLine="480"/>
      </w:pPr>
      <m:oMath>
        <m:acc>
          <m:accPr>
            <m:chr m:val="̅"/>
            <m:ctrlPr>
              <w:rPr>
                <w:rFonts w:ascii="Cambria Math" w:hAnsi="Cambria Math"/>
                <w:i/>
              </w:rPr>
            </m:ctrlPr>
          </m:accPr>
          <m:e>
            <m:r>
              <m:rPr/>
              <w:rPr>
                <w:rFonts w:ascii="Cambria Math" w:hAnsi="Cambria Math"/>
              </w:rPr>
              <m:t>P</m:t>
            </m:r>
            <m:ctrlPr>
              <w:rPr>
                <w:rFonts w:ascii="Cambria Math" w:hAnsi="Cambria Math"/>
                <w:i/>
              </w:rPr>
            </m:ctrlPr>
          </m:e>
        </m:acc>
      </m:oMath>
      <w:r>
        <w:rPr>
          <w:rFonts w:hint="eastAsia"/>
        </w:rPr>
        <w:t>—被校准样板在测量条件下通过计算得到的数值。</w:t>
      </w:r>
    </w:p>
    <w:p w14:paraId="3D4FDECE">
      <w:pPr>
        <w:ind w:firstLine="480"/>
        <w:rPr>
          <w:iCs/>
        </w:rPr>
      </w:pPr>
      <w:r>
        <w:rPr>
          <w:rFonts w:hint="eastAsia"/>
          <w:iCs/>
        </w:rPr>
        <w:t>根据测量时的实际状态，综合分析对测量结果会产生影响的误差来源，不确定度来源如下：</w:t>
      </w:r>
    </w:p>
    <w:p w14:paraId="3C235157">
      <w:pPr>
        <w:ind w:firstLine="480"/>
      </w:pPr>
      <w:r>
        <w:rPr>
          <w:rFonts w:hint="eastAsia"/>
        </w:rPr>
        <w:t>（a）仪器引入的不确定度；</w:t>
      </w:r>
    </w:p>
    <w:p w14:paraId="31F43B8A">
      <w:pPr>
        <w:ind w:firstLine="480"/>
      </w:pPr>
      <w:r>
        <w:rPr>
          <w:rFonts w:hint="eastAsia"/>
        </w:rPr>
        <w:t>（b）样板均匀性引入的不确定度；</w:t>
      </w:r>
    </w:p>
    <w:p w14:paraId="019CFB2C">
      <w:pPr>
        <w:ind w:firstLine="480"/>
      </w:pPr>
      <w:r>
        <w:rPr>
          <w:rFonts w:hint="eastAsia"/>
        </w:rPr>
        <w:t>（c）环境等因素引入的不确定度。</w:t>
      </w:r>
    </w:p>
    <w:p w14:paraId="7E5C78E2">
      <w:pPr>
        <w:ind w:firstLine="480"/>
        <w:rPr>
          <w:iCs/>
          <w:lang w:val="nl-NL"/>
        </w:rPr>
      </w:pPr>
      <w:r>
        <w:rPr>
          <w:rFonts w:hint="eastAsia"/>
          <w:iCs/>
          <w:lang w:val="nl-NL"/>
        </w:rPr>
        <w:t>实验中，环境因素引入的不确定度相比于其他不确定度可忽略不计，因此可得栅格间隔的数学模型为：</w:t>
      </w:r>
    </w:p>
    <w:p w14:paraId="3C967542">
      <w:pPr>
        <w:ind w:firstLine="480"/>
        <w:rPr>
          <w:iCs/>
        </w:rPr>
      </w:pPr>
      <w:r>
        <w:rPr>
          <w:iCs/>
        </w:rPr>
        <w:tab/>
      </w:r>
      <m:oMath>
        <m:r>
          <m:rPr/>
          <w:rPr>
            <w:rFonts w:ascii="Cambria Math" w:hAnsi="Cambria Math"/>
          </w:rPr>
          <m:t>P=</m:t>
        </m:r>
        <m:acc>
          <m:accPr>
            <m:chr m:val="̅"/>
            <m:ctrlPr>
              <w:rPr>
                <w:rFonts w:ascii="Cambria Math" w:hAnsi="Cambria Math"/>
                <w:i/>
                <w:iCs/>
              </w:rPr>
            </m:ctrlPr>
          </m:accPr>
          <m:e>
            <m:r>
              <m:rPr/>
              <w:rPr>
                <w:rFonts w:ascii="Cambria Math" w:hAnsi="Cambria Math"/>
              </w:rPr>
              <m:t>P</m:t>
            </m:r>
            <m:ctrlPr>
              <w:rPr>
                <w:rFonts w:ascii="Cambria Math" w:hAnsi="Cambria Math"/>
                <w:i/>
                <w:iCs/>
              </w:rPr>
            </m:ctrlPr>
          </m:e>
        </m:acc>
        <m:r>
          <m:rPr/>
          <w:rPr>
            <w:rFonts w:ascii="Cambria Math" w:hAnsi="Cambria Math"/>
          </w:rPr>
          <m:t>+δ</m:t>
        </m:r>
        <m:d>
          <m:dPr>
            <m:begChr m:val="（"/>
            <m:endChr m:val="）"/>
            <m:ctrlPr>
              <w:rPr>
                <w:rFonts w:ascii="Cambria Math" w:hAnsi="Cambria Math"/>
                <w:i/>
                <w:iCs/>
              </w:rPr>
            </m:ctrlPr>
          </m:dPr>
          <m:e>
            <m:sSub>
              <m:sSubPr>
                <m:ctrlPr>
                  <w:rPr>
                    <w:rFonts w:ascii="Cambria Math" w:hAnsi="Cambria Math"/>
                    <w:i/>
                    <w:iCs/>
                  </w:rPr>
                </m:ctrlPr>
              </m:sSubPr>
              <m:e>
                <m:r>
                  <m:rPr/>
                  <w:rPr>
                    <w:rFonts w:ascii="Cambria Math" w:hAnsi="Cambria Math"/>
                  </w:rPr>
                  <m:t>P</m:t>
                </m:r>
                <m:ctrlPr>
                  <w:rPr>
                    <w:rFonts w:ascii="Cambria Math" w:hAnsi="Cambria Math"/>
                    <w:i/>
                    <w:iCs/>
                  </w:rPr>
                </m:ctrlPr>
              </m:e>
              <m:sub>
                <m:r>
                  <m:rPr/>
                  <w:rPr>
                    <w:rFonts w:ascii="Cambria Math" w:hAnsi="Cambria Math"/>
                  </w:rPr>
                  <m:t>1</m:t>
                </m:r>
                <m:ctrlPr>
                  <w:rPr>
                    <w:rFonts w:ascii="Cambria Math" w:hAnsi="Cambria Math"/>
                    <w:i/>
                    <w:iCs/>
                  </w:rPr>
                </m:ctrlPr>
              </m:sub>
            </m:sSub>
            <m:ctrlPr>
              <w:rPr>
                <w:rFonts w:ascii="Cambria Math" w:hAnsi="Cambria Math"/>
                <w:i/>
                <w:iCs/>
              </w:rPr>
            </m:ctrlPr>
          </m:e>
        </m:d>
        <m:r>
          <m:rPr/>
          <w:rPr>
            <w:rFonts w:ascii="Cambria Math" w:hAnsi="Cambria Math"/>
          </w:rPr>
          <m:t>+δ</m:t>
        </m:r>
        <m:d>
          <m:dPr>
            <m:begChr m:val="（"/>
            <m:endChr m:val="）"/>
            <m:ctrlPr>
              <w:rPr>
                <w:rFonts w:ascii="Cambria Math" w:hAnsi="Cambria Math"/>
                <w:i/>
                <w:iCs/>
              </w:rPr>
            </m:ctrlPr>
          </m:dPr>
          <m:e>
            <m:sSub>
              <m:sSubPr>
                <m:ctrlPr>
                  <w:rPr>
                    <w:rFonts w:ascii="Cambria Math" w:hAnsi="Cambria Math"/>
                    <w:i/>
                    <w:iCs/>
                  </w:rPr>
                </m:ctrlPr>
              </m:sSubPr>
              <m:e>
                <m:r>
                  <m:rPr/>
                  <w:rPr>
                    <w:rFonts w:ascii="Cambria Math" w:hAnsi="Cambria Math"/>
                  </w:rPr>
                  <m:t>P</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i/>
                <w:iCs/>
              </w:rPr>
            </m:ctrlPr>
          </m:e>
        </m:d>
      </m:oMath>
      <w:r>
        <w:rPr>
          <w:iCs/>
        </w:rPr>
        <w:tab/>
      </w:r>
      <w:r>
        <w:rPr>
          <w:rFonts w:hint="eastAsia"/>
          <w:iCs/>
        </w:rPr>
        <w:t>（C.2）</w:t>
      </w:r>
    </w:p>
    <w:p w14:paraId="731D2D6E">
      <w:pPr>
        <w:ind w:firstLine="480"/>
        <w:rPr>
          <w:rFonts w:ascii="Arial" w:hAnsi="Arial" w:cs="Arial"/>
        </w:rPr>
      </w:pPr>
      <w:r>
        <w:rPr>
          <w:rFonts w:hint="eastAsia" w:ascii="Arial" w:hAnsi="Arial" w:cs="Arial"/>
        </w:rPr>
        <w:t>式中：</w:t>
      </w:r>
    </w:p>
    <w:p w14:paraId="4164C79A">
      <w:pPr>
        <w:ind w:firstLine="480"/>
      </w:pPr>
      <m:oMath>
        <m:r>
          <m:rPr/>
          <w:rPr>
            <w:rFonts w:ascii="Cambria Math" w:hAnsi="Cambria Math" w:cs="Arial"/>
          </w:rPr>
          <m:t>δ</m:t>
        </m:r>
        <m:r>
          <m:rPr/>
          <w:rPr>
            <w:rFonts w:hint="eastAsia" w:ascii="Cambria Math" w:hAnsi="Cambria Math" w:cs="Arial"/>
          </w:rPr>
          <m:t>（</m:t>
        </m:r>
        <m:sSub>
          <m:sSubPr>
            <m:ctrlPr>
              <w:rPr>
                <w:rFonts w:ascii="Cambria Math" w:hAnsi="Cambria Math" w:cs="Arial"/>
                <w:i/>
              </w:rPr>
            </m:ctrlPr>
          </m:sSubPr>
          <m:e>
            <m:r>
              <m:rPr/>
              <w:rPr>
                <w:rFonts w:ascii="Cambria Math" w:hAnsi="Cambria Math" w:cs="Arial"/>
              </w:rPr>
              <m:t>P</m:t>
            </m:r>
            <m:ctrlPr>
              <w:rPr>
                <w:rFonts w:ascii="Cambria Math" w:hAnsi="Cambria Math" w:cs="Arial"/>
                <w:i/>
              </w:rPr>
            </m:ctrlPr>
          </m:e>
          <m:sub>
            <m:r>
              <m:rPr/>
              <w:rPr>
                <w:rFonts w:ascii="Cambria Math" w:hAnsi="Cambria Math" w:cs="Arial"/>
              </w:rPr>
              <m:t>1</m:t>
            </m:r>
            <m:ctrlPr>
              <w:rPr>
                <w:rFonts w:ascii="Cambria Math" w:hAnsi="Cambria Math" w:cs="Arial"/>
                <w:i/>
              </w:rPr>
            </m:ctrlPr>
          </m:sub>
        </m:sSub>
        <m:r>
          <m:rPr/>
          <w:rPr>
            <w:rFonts w:hint="eastAsia" w:ascii="Cambria Math" w:hAnsi="Cambria Math" w:cs="Arial"/>
          </w:rPr>
          <m:t>）</m:t>
        </m:r>
      </m:oMath>
      <w:r>
        <w:rPr>
          <w:rFonts w:hint="eastAsia"/>
        </w:rPr>
        <w:t>—仪器测量重复性引入的不确定度；</w:t>
      </w:r>
    </w:p>
    <w:p w14:paraId="524A357D">
      <w:pPr>
        <w:ind w:firstLine="480"/>
      </w:pPr>
      <m:oMath>
        <m:r>
          <m:rPr/>
          <w:rPr>
            <w:rFonts w:ascii="Cambria Math" w:hAnsi="Cambria Math" w:cs="Arial"/>
          </w:rPr>
          <m:t>δ</m:t>
        </m:r>
        <m:r>
          <m:rPr/>
          <w:rPr>
            <w:rFonts w:hint="eastAsia" w:ascii="Cambria Math" w:hAnsi="Cambria Math" w:cs="Arial"/>
          </w:rPr>
          <m:t>（</m:t>
        </m:r>
        <m:sSub>
          <m:sSubPr>
            <m:ctrlPr>
              <w:rPr>
                <w:rFonts w:ascii="Cambria Math" w:hAnsi="Cambria Math" w:cs="Arial"/>
                <w:i/>
              </w:rPr>
            </m:ctrlPr>
          </m:sSubPr>
          <m:e>
            <m:r>
              <m:rPr/>
              <w:rPr>
                <w:rFonts w:ascii="Cambria Math" w:hAnsi="Cambria Math" w:cs="Arial"/>
              </w:rPr>
              <m:t>P</m:t>
            </m:r>
            <m:ctrlPr>
              <w:rPr>
                <w:rFonts w:ascii="Cambria Math" w:hAnsi="Cambria Math" w:cs="Arial"/>
                <w:i/>
              </w:rPr>
            </m:ctrlPr>
          </m:e>
          <m:sub>
            <m:r>
              <m:rPr/>
              <w:rPr>
                <w:rFonts w:ascii="Cambria Math" w:hAnsi="Cambria Math" w:cs="Arial"/>
              </w:rPr>
              <m:t>2</m:t>
            </m:r>
            <m:ctrlPr>
              <w:rPr>
                <w:rFonts w:ascii="Cambria Math" w:hAnsi="Cambria Math" w:cs="Arial"/>
                <w:i/>
              </w:rPr>
            </m:ctrlPr>
          </m:sub>
        </m:sSub>
        <m:r>
          <m:rPr/>
          <w:rPr>
            <w:rFonts w:hint="eastAsia" w:ascii="Cambria Math" w:hAnsi="Cambria Math" w:cs="Arial"/>
          </w:rPr>
          <m:t>）</m:t>
        </m:r>
      </m:oMath>
      <w:r>
        <w:rPr>
          <w:rFonts w:hint="eastAsia"/>
        </w:rPr>
        <w:t>—样板均匀性引入的不确定度。</w:t>
      </w:r>
    </w:p>
    <w:p w14:paraId="03F2CE63">
      <w:pPr>
        <w:pStyle w:val="54"/>
      </w:pPr>
      <w:r>
        <w:rPr>
          <w:rFonts w:hint="eastAsia"/>
        </w:rPr>
        <w:t>C.3 方差和灵敏系数</w:t>
      </w:r>
    </w:p>
    <w:p w14:paraId="14E45481">
      <w:pPr>
        <w:ind w:firstLine="480"/>
      </w:pPr>
      <w:r>
        <w:rPr>
          <w:rFonts w:hint="eastAsia"/>
        </w:rPr>
        <w:t>考虑到各输入量彼此独立，其合成标准不确定度为：</w:t>
      </w:r>
    </w:p>
    <w:p w14:paraId="168A969B">
      <w:pPr>
        <w:ind w:firstLine="0" w:firstLineChars="0"/>
      </w:pPr>
      <w:r>
        <w:tab/>
      </w:r>
      <m:oMath>
        <m:sSup>
          <m:sSupPr>
            <m:ctrlPr>
              <w:rPr>
                <w:rFonts w:ascii="Cambria Math" w:hAnsi="Cambria Math"/>
                <w:i/>
              </w:rPr>
            </m:ctrlPr>
          </m:sSupPr>
          <m:e>
            <m:r>
              <m:rPr/>
              <w:rPr>
                <w:rFonts w:hint="eastAsia" w:ascii="Cambria Math" w:hAnsi="Cambria Math"/>
              </w:rPr>
              <m:t>u</m:t>
            </m:r>
            <m:ctrlPr>
              <w:rPr>
                <w:rFonts w:ascii="Cambria Math" w:hAnsi="Cambria Math"/>
                <w:i/>
              </w:rPr>
            </m:ctrlPr>
          </m:e>
          <m:sup>
            <m:r>
              <m:rPr/>
              <w:rPr>
                <w:rFonts w:ascii="Cambria Math" w:hAnsi="Cambria Math"/>
              </w:rPr>
              <m:t>2</m:t>
            </m:r>
            <m:ctrlPr>
              <w:rPr>
                <w:rFonts w:ascii="Cambria Math" w:hAnsi="Cambria Math"/>
                <w:i/>
              </w:rPr>
            </m:ctrlPr>
          </m:sup>
        </m:sSup>
        <m:d>
          <m:dPr>
            <m:begChr m:val="（"/>
            <m:endChr m:val="）"/>
            <m:ctrlPr>
              <w:rPr>
                <w:rFonts w:ascii="Cambria Math" w:hAnsi="Cambria Math"/>
                <w:i/>
              </w:rPr>
            </m:ctrlPr>
          </m:dPr>
          <m:e>
            <m:r>
              <m:rPr/>
              <w:rPr>
                <w:rFonts w:ascii="Cambria Math" w:hAnsi="Cambria Math"/>
              </w:rPr>
              <m:t>P</m:t>
            </m:r>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hint="eastAsia" w:ascii="Cambria Math" w:hAnsi="Cambria Math"/>
              </w:rPr>
              <m:t>c</m:t>
            </m:r>
            <m:ctrlPr>
              <w:rPr>
                <w:rFonts w:ascii="Cambria Math" w:hAnsi="Cambria Math"/>
                <w:i/>
              </w:rPr>
            </m:ctrlPr>
          </m:e>
          <m:sub>
            <m:r>
              <m:rPr/>
              <w:rPr>
                <w:rFonts w:ascii="Cambria Math" w:hAnsi="Cambria Math"/>
              </w:rPr>
              <m:t>1</m:t>
            </m:r>
            <m:ctrlPr>
              <w:rPr>
                <w:rFonts w:ascii="Cambria Math" w:hAnsi="Cambria Math"/>
                <w:i/>
              </w:rPr>
            </m:ctrlPr>
          </m:sub>
          <m:sup>
            <m:r>
              <m:rPr/>
              <w:rPr>
                <w:rFonts w:ascii="Cambria Math" w:hAnsi="Cambria Math"/>
              </w:rPr>
              <m:t>2</m:t>
            </m:r>
            <m:ctrlPr>
              <w:rPr>
                <w:rFonts w:ascii="Cambria Math" w:hAnsi="Cambria Math"/>
                <w:i/>
              </w:rPr>
            </m:ctrlPr>
          </m:sup>
        </m:sSubSup>
        <m:sSup>
          <m:sSupPr>
            <m:ctrlPr>
              <w:rPr>
                <w:rFonts w:ascii="Cambria Math" w:hAnsi="Cambria Math"/>
                <w:i/>
              </w:rPr>
            </m:ctrlPr>
          </m:sSupPr>
          <m:e>
            <m:r>
              <m:rPr/>
              <w:rPr>
                <w:rFonts w:hint="eastAsia" w:ascii="Cambria Math" w:hAnsi="Cambria Math"/>
              </w:rPr>
              <m:t>u</m:t>
            </m:r>
            <m:ctrlPr>
              <w:rPr>
                <w:rFonts w:ascii="Cambria Math" w:hAnsi="Cambria Math"/>
                <w:i/>
              </w:rPr>
            </m:ctrlPr>
          </m:e>
          <m:sup>
            <m:r>
              <m:rPr/>
              <w:rPr>
                <w:rFonts w:ascii="Cambria Math" w:hAnsi="Cambria Math"/>
              </w:rPr>
              <m:t>2</m:t>
            </m:r>
            <m:ctrlPr>
              <w:rPr>
                <w:rFonts w:ascii="Cambria Math" w:hAnsi="Cambria Math"/>
                <w:i/>
              </w:rPr>
            </m:ctrlPr>
          </m:sup>
        </m:sSup>
        <m:d>
          <m:dPr>
            <m:begChr m:val="（"/>
            <m:endChr m:val="）"/>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hint="eastAsia" w:ascii="Cambria Math" w:hAnsi="Cambria Math"/>
              </w:rPr>
              <m:t>c</m:t>
            </m:r>
            <m:ctrlPr>
              <w:rPr>
                <w:rFonts w:ascii="Cambria Math" w:hAnsi="Cambria Math"/>
                <w:i/>
              </w:rPr>
            </m:ctrlPr>
          </m:e>
          <m:sub>
            <m:r>
              <m:rPr/>
              <w:rPr>
                <w:rFonts w:ascii="Cambria Math" w:hAnsi="Cambria Math"/>
              </w:rPr>
              <m:t>2</m:t>
            </m:r>
            <m:ctrlPr>
              <w:rPr>
                <w:rFonts w:ascii="Cambria Math" w:hAnsi="Cambria Math"/>
                <w:i/>
              </w:rPr>
            </m:ctrlPr>
          </m:sub>
          <m:sup>
            <m:r>
              <m:rPr/>
              <w:rPr>
                <w:rFonts w:ascii="Cambria Math" w:hAnsi="Cambria Math"/>
              </w:rPr>
              <m:t>2</m:t>
            </m:r>
            <m:ctrlPr>
              <w:rPr>
                <w:rFonts w:ascii="Cambria Math" w:hAnsi="Cambria Math"/>
                <w:i/>
              </w:rPr>
            </m:ctrlPr>
          </m:sup>
        </m:sSubSup>
        <m:sSup>
          <m:sSupPr>
            <m:ctrlPr>
              <w:rPr>
                <w:rFonts w:ascii="Cambria Math" w:hAnsi="Cambria Math"/>
                <w:i/>
              </w:rPr>
            </m:ctrlPr>
          </m:sSupPr>
          <m:e>
            <m:r>
              <m:rPr/>
              <w:rPr>
                <w:rFonts w:hint="eastAsia" w:ascii="Cambria Math" w:hAnsi="Cambria Math"/>
              </w:rPr>
              <m:t>u</m:t>
            </m:r>
            <m:ctrlPr>
              <w:rPr>
                <w:rFonts w:ascii="Cambria Math" w:hAnsi="Cambria Math"/>
                <w:i/>
              </w:rPr>
            </m:ctrlPr>
          </m:e>
          <m:sup>
            <m:r>
              <m:rPr/>
              <w:rPr>
                <w:rFonts w:ascii="Cambria Math" w:hAnsi="Cambria Math"/>
              </w:rPr>
              <m:t>2</m:t>
            </m:r>
            <m:ctrlPr>
              <w:rPr>
                <w:rFonts w:ascii="Cambria Math" w:hAnsi="Cambria Math"/>
                <w:i/>
              </w:rPr>
            </m:ctrlPr>
          </m:sup>
        </m:sSup>
        <m:d>
          <m:dPr>
            <m:begChr m:val="（"/>
            <m:endChr m:val="）"/>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e>
        </m:d>
      </m:oMath>
      <w:r>
        <w:tab/>
      </w:r>
      <w:r>
        <w:rPr>
          <w:rFonts w:hint="eastAsia"/>
        </w:rPr>
        <w:t>（C.3）</w:t>
      </w:r>
    </w:p>
    <w:p w14:paraId="5DC0858F">
      <w:pPr>
        <w:ind w:firstLine="480"/>
      </w:pPr>
      <w:r>
        <w:rPr>
          <w:rFonts w:hint="eastAsia"/>
        </w:rPr>
        <w:t>其中</w:t>
      </w:r>
      <m:oMath>
        <m:sSub>
          <m:sSubPr>
            <m:ctrlPr>
              <w:rPr>
                <w:rFonts w:ascii="Cambria Math" w:hAnsi="Cambria Math"/>
              </w:rPr>
            </m:ctrlPr>
          </m:sSubPr>
          <m:e>
            <m:r>
              <m:rPr/>
              <w:rPr>
                <w:rFonts w:hint="eastAsia" w:ascii="Cambria Math" w:hAnsi="Cambria Math"/>
              </w:rPr>
              <m:t>c</m:t>
            </m:r>
            <m:ctrlPr>
              <w:rPr>
                <w:rFonts w:ascii="Cambria Math" w:hAnsi="Cambria Math"/>
              </w:rPr>
            </m:ctrlPr>
          </m:e>
          <m:sub>
            <m:r>
              <m:rPr>
                <m:sty m:val="p"/>
              </m:rPr>
              <w:rPr>
                <w:rFonts w:ascii="Cambria Math" w:hAnsi="Cambria Math"/>
              </w:rPr>
              <m:t>1</m:t>
            </m:r>
            <m:ctrlPr>
              <w:rPr>
                <w:rFonts w:ascii="Cambria Math" w:hAnsi="Cambria Math"/>
              </w:rPr>
            </m:ctrlPr>
          </m:sub>
        </m:sSub>
      </m:oMath>
      <w:r>
        <w:rPr>
          <w:rFonts w:hint="eastAsia"/>
        </w:rPr>
        <w:t>、</w:t>
      </w:r>
      <m:oMath>
        <m:sSub>
          <m:sSubPr>
            <m:ctrlPr>
              <w:rPr>
                <w:rFonts w:ascii="Cambria Math" w:hAnsi="Cambria Math"/>
              </w:rPr>
            </m:ctrlPr>
          </m:sSubPr>
          <m:e>
            <m:r>
              <m:rPr/>
              <w:rPr>
                <w:rFonts w:hint="eastAsia" w:ascii="Cambria Math" w:hAnsi="Cambria Math"/>
              </w:rPr>
              <m:t>c</m:t>
            </m:r>
            <m:ctrlPr>
              <w:rPr>
                <w:rFonts w:ascii="Cambria Math" w:hAnsi="Cambria Math"/>
              </w:rPr>
            </m:ctrlPr>
          </m:e>
          <m:sub>
            <m:r>
              <m:rPr>
                <m:sty m:val="p"/>
              </m:rPr>
              <w:rPr>
                <w:rFonts w:ascii="Cambria Math" w:hAnsi="Cambria Math"/>
              </w:rPr>
              <m:t>2</m:t>
            </m:r>
            <m:ctrlPr>
              <w:rPr>
                <w:rFonts w:ascii="Cambria Math" w:hAnsi="Cambria Math"/>
              </w:rPr>
            </m:ctrlPr>
          </m:sub>
        </m:sSub>
      </m:oMath>
      <w:r>
        <w:rPr>
          <w:rFonts w:hint="eastAsia"/>
        </w:rPr>
        <w:t>为灵敏系数，均取1。</w:t>
      </w:r>
    </w:p>
    <w:p w14:paraId="3DD0A334">
      <w:pPr>
        <w:pStyle w:val="54"/>
      </w:pPr>
      <w:r>
        <w:rPr>
          <w:rFonts w:hint="eastAsia"/>
        </w:rPr>
        <w:t>C.4 微纳栅格标准样板测量不确定度评定</w:t>
      </w:r>
    </w:p>
    <w:p w14:paraId="0811DD15">
      <w:pPr>
        <w:ind w:firstLine="480"/>
        <w:rPr>
          <w:rFonts w:ascii="Arial" w:hAnsi="Arial" w:cs="Arial"/>
        </w:rPr>
      </w:pPr>
      <w:r>
        <w:rPr>
          <w:rFonts w:hint="eastAsia" w:ascii="Arial" w:hAnsi="Arial" w:cs="Arial"/>
        </w:rPr>
        <w:t>本实例中采用的标准样板为栅格间距为</w:t>
      </w:r>
      <w:r>
        <w:t>49.78μm</w:t>
      </w:r>
      <w:r>
        <w:rPr>
          <w:rFonts w:hint="eastAsia" w:ascii="Arial" w:hAnsi="Arial" w:cs="Arial"/>
        </w:rPr>
        <w:t>的微纳栅格样板。</w:t>
      </w:r>
    </w:p>
    <w:p w14:paraId="305B2447">
      <w:pPr>
        <w:pStyle w:val="56"/>
      </w:pPr>
      <w:r>
        <w:rPr>
          <w:rFonts w:hint="eastAsia"/>
        </w:rPr>
        <w:t>C.4.1 仪器引入的不确定度</w:t>
      </w:r>
    </w:p>
    <w:p w14:paraId="338B93BB">
      <w:pPr>
        <w:ind w:firstLine="480"/>
        <w:rPr>
          <w:rFonts w:ascii="Arial" w:hAnsi="Arial" w:cs="Arial"/>
        </w:rPr>
      </w:pPr>
      <w:r>
        <w:rPr>
          <w:rFonts w:hint="eastAsia"/>
        </w:rPr>
        <w:t>本规范中，紫外光学显微镜测量微纳栅格的最大示值误差（MPE）为</w:t>
      </w:r>
      <w:r>
        <w:t>±1um</w:t>
      </w:r>
      <w:r>
        <w:rPr>
          <w:rFonts w:hint="eastAsia"/>
        </w:rPr>
        <w:t>。按照均匀分布，包含因子k=</w:t>
      </w:r>
      <m:oMath>
        <m:rad>
          <m:radPr>
            <m:degHide m:val="1"/>
            <m:ctrlPr>
              <w:rPr>
                <w:rFonts w:ascii="Cambria Math" w:hAnsi="Cambria Math"/>
                <w:i/>
              </w:rPr>
            </m:ctrlPr>
          </m:radPr>
          <m:deg>
            <m:ctrlPr>
              <w:rPr>
                <w:rFonts w:ascii="Cambria Math" w:hAnsi="Cambria Math"/>
                <w:i/>
              </w:rPr>
            </m:ctrlPr>
          </m:deg>
          <m:e>
            <m:r>
              <m:rPr/>
              <w:rPr>
                <w:rFonts w:ascii="Cambria Math" w:hAnsi="Cambria Math"/>
              </w:rPr>
              <m:t>3</m:t>
            </m:r>
            <m:ctrlPr>
              <w:rPr>
                <w:rFonts w:ascii="Cambria Math" w:hAnsi="Cambria Math"/>
                <w:i/>
              </w:rPr>
            </m:ctrlPr>
          </m:e>
        </m:rad>
      </m:oMath>
      <w:r>
        <w:rPr>
          <w:rFonts w:hint="eastAsia"/>
        </w:rPr>
        <w:t>，因此可得：</w:t>
      </w:r>
    </w:p>
    <w:p w14:paraId="0CAF41E8">
      <w:pPr>
        <w:pStyle w:val="56"/>
      </w:pPr>
      <w:r>
        <w:rPr>
          <w:rFonts w:eastAsia="宋体"/>
        </w:rPr>
        <w:tab/>
      </w:r>
      <m:oMath>
        <m:r>
          <m:rPr/>
          <w:rPr>
            <w:rFonts w:hint="eastAsia" w:ascii="Cambria Math" w:hAnsi="Cambria Math" w:cs="Arial"/>
          </w:rPr>
          <m:t>u</m:t>
        </m:r>
        <m:d>
          <m:dPr>
            <m:begChr m:val="（"/>
            <m:endChr m:val="）"/>
            <m:ctrlPr>
              <w:rPr>
                <w:rFonts w:ascii="Cambria Math" w:hAnsi="Cambria Math" w:cs="Arial"/>
                <w:i/>
              </w:rPr>
            </m:ctrlPr>
          </m:dPr>
          <m:e>
            <m:sSub>
              <m:sSubPr>
                <m:ctrlPr>
                  <w:rPr>
                    <w:rFonts w:ascii="Cambria Math" w:hAnsi="Cambria Math" w:eastAsia="宋体" w:cs="Arial"/>
                    <w:i/>
                  </w:rPr>
                </m:ctrlPr>
              </m:sSubPr>
              <m:e>
                <m:r>
                  <m:rPr/>
                  <w:rPr>
                    <w:rFonts w:ascii="Cambria Math" w:hAnsi="Cambria Math" w:cs="Arial"/>
                  </w:rPr>
                  <m:t>P</m:t>
                </m:r>
                <m:ctrlPr>
                  <w:rPr>
                    <w:rFonts w:ascii="Cambria Math" w:hAnsi="Cambria Math" w:eastAsia="宋体" w:cs="Arial"/>
                    <w:i/>
                  </w:rPr>
                </m:ctrlPr>
              </m:e>
              <m:sub>
                <m:r>
                  <m:rPr/>
                  <w:rPr>
                    <w:rFonts w:ascii="Cambria Math" w:hAnsi="Cambria Math" w:cs="Arial"/>
                  </w:rPr>
                  <m:t>1</m:t>
                </m:r>
                <m:ctrlPr>
                  <w:rPr>
                    <w:rFonts w:ascii="Cambria Math" w:hAnsi="Cambria Math" w:eastAsia="宋体" w:cs="Arial"/>
                    <w:i/>
                  </w:rPr>
                </m:ctrlPr>
              </m:sub>
            </m:sSub>
            <m:ctrlPr>
              <w:rPr>
                <w:rFonts w:ascii="Cambria Math" w:hAnsi="Cambria Math" w:cs="Arial"/>
                <w:i/>
              </w:rPr>
            </m:ctrlPr>
          </m:e>
        </m:d>
        <m:r>
          <m:rPr/>
          <w:rPr>
            <w:rFonts w:ascii="Cambria Math" w:hAnsi="Cambria Math" w:cs="Arial"/>
          </w:rPr>
          <m:t>=</m:t>
        </m:r>
        <m:f>
          <m:fPr>
            <m:ctrlPr>
              <w:rPr>
                <w:rFonts w:ascii="Cambria Math" w:hAnsi="Cambria Math" w:cs="Arial"/>
                <w:i/>
              </w:rPr>
            </m:ctrlPr>
          </m:fPr>
          <m:num>
            <m:r>
              <m:rPr/>
              <w:rPr>
                <w:rFonts w:ascii="Cambria Math" w:hAnsi="Cambria Math" w:cs="Arial"/>
              </w:rPr>
              <m:t>1</m:t>
            </m:r>
            <m:ctrlPr>
              <w:rPr>
                <w:rFonts w:ascii="Cambria Math" w:hAnsi="Cambria Math" w:cs="Arial"/>
                <w:i/>
              </w:rPr>
            </m:ctrlPr>
          </m:num>
          <m:den>
            <m:rad>
              <m:radPr>
                <m:degHide m:val="1"/>
                <m:ctrlPr>
                  <w:rPr>
                    <w:rFonts w:ascii="Cambria Math" w:hAnsi="Cambria Math" w:cs="Arial"/>
                    <w:i/>
                  </w:rPr>
                </m:ctrlPr>
              </m:radPr>
              <m:deg>
                <m:ctrlPr>
                  <w:rPr>
                    <w:rFonts w:ascii="Cambria Math" w:hAnsi="Cambria Math" w:cs="Arial"/>
                    <w:i/>
                  </w:rPr>
                </m:ctrlPr>
              </m:deg>
              <m:e>
                <m:r>
                  <m:rPr/>
                  <w:rPr>
                    <w:rFonts w:ascii="Cambria Math" w:hAnsi="Cambria Math" w:cs="Arial"/>
                  </w:rPr>
                  <m:t>3</m:t>
                </m:r>
                <m:ctrlPr>
                  <w:rPr>
                    <w:rFonts w:ascii="Cambria Math" w:hAnsi="Cambria Math" w:cs="Arial"/>
                    <w:i/>
                  </w:rPr>
                </m:ctrlPr>
              </m:e>
            </m:rad>
            <m:ctrlPr>
              <w:rPr>
                <w:rFonts w:ascii="Cambria Math" w:hAnsi="Cambria Math" w:cs="Arial"/>
                <w:i/>
              </w:rPr>
            </m:ctrlPr>
          </m:den>
        </m:f>
        <m:r>
          <m:rPr/>
          <w:rPr>
            <w:rFonts w:ascii="Cambria Math" w:hAnsi="Cambria Math" w:cs="Arial"/>
          </w:rPr>
          <m:t>=0.33</m:t>
        </m:r>
      </m:oMath>
      <w:r>
        <w:t>μm</w:t>
      </w:r>
      <w:r>
        <w:tab/>
      </w:r>
      <w:r>
        <w:rPr>
          <w:rFonts w:hint="eastAsia"/>
        </w:rPr>
        <w:t>(C.4)</w:t>
      </w:r>
    </w:p>
    <w:p w14:paraId="3A801402">
      <w:pPr>
        <w:pStyle w:val="56"/>
      </w:pPr>
      <w:r>
        <w:rPr>
          <w:rFonts w:hint="eastAsia"/>
        </w:rPr>
        <w:t>C.4.2 样板均匀性引入的不确定度</w:t>
      </w:r>
    </w:p>
    <w:p w14:paraId="5E8C6971">
      <w:pPr>
        <w:ind w:firstLine="480"/>
      </w:pPr>
      <w:r>
        <w:rPr>
          <w:rFonts w:hint="eastAsia"/>
        </w:rPr>
        <w:t>对选用的栅格样板9个不同位置分别进行连续重复测量，计算测量结果的实验标准偏差，采用A类方法进行不确定度评定。</w:t>
      </w:r>
    </w:p>
    <w:p w14:paraId="4BB5F04A">
      <w:pPr>
        <w:ind w:firstLine="0" w:firstLineChars="0"/>
        <w:rPr>
          <w:rFonts w:hint="eastAsia" w:ascii="宋体" w:hAnsi="宋体" w:cs="Arial"/>
        </w:rPr>
      </w:pPr>
      <w:r>
        <w:rPr>
          <w:rFonts w:ascii="Arial" w:hAnsi="Arial" w:cs="Arial"/>
        </w:rPr>
        <w:tab/>
      </w:r>
      <m:oMath>
        <m:r>
          <m:rPr/>
          <w:rPr>
            <w:rFonts w:hint="eastAsia" w:ascii="Cambria Math" w:hAnsi="Cambria Math" w:cs="Arial"/>
          </w:rPr>
          <m:t>u</m:t>
        </m:r>
        <m:d>
          <m:dPr>
            <m:begChr m:val="（"/>
            <m:endChr m:val="）"/>
            <m:ctrlPr>
              <w:rPr>
                <w:rFonts w:ascii="Cambria Math" w:hAnsi="Cambria Math" w:cs="Arial"/>
                <w:i/>
              </w:rPr>
            </m:ctrlPr>
          </m:dPr>
          <m:e>
            <m:sSub>
              <m:sSubPr>
                <m:ctrlPr>
                  <w:rPr>
                    <w:rFonts w:ascii="Cambria Math" w:hAnsi="Cambria Math" w:cs="Arial"/>
                    <w:i/>
                  </w:rPr>
                </m:ctrlPr>
              </m:sSubPr>
              <m:e>
                <m:r>
                  <m:rPr/>
                  <w:rPr>
                    <w:rFonts w:ascii="Cambria Math" w:hAnsi="Cambria Math" w:cs="Arial"/>
                  </w:rPr>
                  <m:t>P</m:t>
                </m:r>
                <m:ctrlPr>
                  <w:rPr>
                    <w:rFonts w:ascii="Cambria Math" w:hAnsi="Cambria Math" w:cs="Arial"/>
                    <w:i/>
                  </w:rPr>
                </m:ctrlPr>
              </m:e>
              <m:sub>
                <m:r>
                  <m:rPr/>
                  <w:rPr>
                    <w:rFonts w:ascii="Cambria Math" w:hAnsi="Cambria Math" w:cs="Arial"/>
                  </w:rPr>
                  <m:t>2</m:t>
                </m:r>
                <m:ctrlPr>
                  <w:rPr>
                    <w:rFonts w:ascii="Cambria Math" w:hAnsi="Cambria Math" w:cs="Arial"/>
                    <w:i/>
                  </w:rPr>
                </m:ctrlPr>
              </m:sub>
            </m:sSub>
            <m:ctrlPr>
              <w:rPr>
                <w:rFonts w:ascii="Cambria Math" w:hAnsi="Cambria Math" w:cs="Arial"/>
                <w:i/>
              </w:rPr>
            </m:ctrlPr>
          </m:e>
        </m:d>
        <m:r>
          <m:rPr/>
          <w:rPr>
            <w:rFonts w:ascii="Cambria Math" w:hAnsi="Cambria Math" w:cs="Arial"/>
          </w:rPr>
          <m:t>=0.15</m:t>
        </m:r>
      </m:oMath>
      <w:r>
        <w:t>μm</w:t>
      </w:r>
      <w:r>
        <w:rPr>
          <w:rFonts w:ascii="Arial" w:hAnsi="Arial" w:cs="Arial"/>
        </w:rPr>
        <w:tab/>
      </w:r>
      <w:r>
        <w:rPr>
          <w:rFonts w:hint="eastAsia"/>
        </w:rPr>
        <w:t>(C</w:t>
      </w:r>
      <w:r>
        <w:t>.5</w:t>
      </w:r>
      <w:r>
        <w:rPr>
          <w:rFonts w:hint="eastAsia"/>
        </w:rPr>
        <w:t>)</w:t>
      </w:r>
    </w:p>
    <w:p w14:paraId="1DD0115D">
      <w:pPr>
        <w:pStyle w:val="56"/>
      </w:pPr>
      <w:r>
        <w:rPr>
          <w:rFonts w:hint="eastAsia"/>
        </w:rPr>
        <w:t>C.4.4 合成标准不确定度</w:t>
      </w:r>
    </w:p>
    <w:p w14:paraId="5236E564">
      <w:pPr>
        <w:ind w:firstLine="0" w:firstLineChars="0"/>
      </w:pPr>
      <w:r>
        <w:rPr>
          <w:rFonts w:eastAsia="黑体"/>
          <w:iCs/>
        </w:rPr>
        <w:tab/>
      </w:r>
      <m:oMath>
        <m:r>
          <m:rPr/>
          <w:rPr>
            <w:rFonts w:hint="eastAsia" w:ascii="Cambria Math" w:hAnsi="Cambria Math"/>
          </w:rPr>
          <m:t>u</m:t>
        </m:r>
        <m:d>
          <m:dPr>
            <m:begChr m:val="（"/>
            <m:endChr m:val="）"/>
            <m:ctrlPr>
              <w:rPr>
                <w:rFonts w:ascii="Cambria Math" w:hAnsi="Cambria Math"/>
                <w:i/>
                <w:iCs/>
              </w:rPr>
            </m:ctrlPr>
          </m:dPr>
          <m:e>
            <m:r>
              <m:rPr/>
              <w:rPr>
                <w:rFonts w:ascii="Cambria Math" w:hAnsi="Cambria Math"/>
              </w:rPr>
              <m:t>P</m:t>
            </m:r>
            <m:ctrlPr>
              <w:rPr>
                <w:rFonts w:ascii="Cambria Math" w:hAnsi="Cambria Math"/>
                <w:i/>
                <w:iCs/>
              </w:rPr>
            </m:ctrlPr>
          </m:e>
        </m:d>
        <m:r>
          <m:rPr/>
          <w:rPr>
            <w:rFonts w:ascii="Cambria Math" w:hAnsi="Cambria Math"/>
          </w:rPr>
          <m:t>=</m:t>
        </m:r>
        <m:rad>
          <m:radPr>
            <m:degHide m:val="1"/>
            <m:ctrlPr>
              <w:rPr>
                <w:rFonts w:ascii="Cambria Math" w:hAnsi="Cambria Math"/>
                <w:i/>
                <w:iCs/>
              </w:rPr>
            </m:ctrlPr>
          </m:radPr>
          <m:deg>
            <m:ctrlPr>
              <w:rPr>
                <w:rFonts w:ascii="Cambria Math" w:hAnsi="Cambria Math"/>
                <w:i/>
                <w:iCs/>
              </w:rPr>
            </m:ctrlPr>
          </m:deg>
          <m:e>
            <m:sSup>
              <m:sSupPr>
                <m:ctrlPr>
                  <w:rPr>
                    <w:rFonts w:ascii="Cambria Math" w:hAnsi="Cambria Math"/>
                    <w:i/>
                    <w:iCs/>
                  </w:rPr>
                </m:ctrlPr>
              </m:sSupPr>
              <m:e>
                <m:r>
                  <m:rPr/>
                  <w:rPr>
                    <w:rFonts w:hint="eastAsia" w:ascii="Cambria Math" w:hAnsi="Cambria Math"/>
                  </w:rPr>
                  <m:t>u</m:t>
                </m:r>
                <m:ctrlPr>
                  <w:rPr>
                    <w:rFonts w:ascii="Cambria Math" w:hAnsi="Cambria Math"/>
                    <w:i/>
                    <w:iCs/>
                  </w:rPr>
                </m:ctrlPr>
              </m:e>
              <m:sup>
                <m:r>
                  <m:rPr/>
                  <w:rPr>
                    <w:rFonts w:ascii="Cambria Math" w:hAnsi="Cambria Math"/>
                  </w:rPr>
                  <m:t>2</m:t>
                </m:r>
                <m:ctrlPr>
                  <w:rPr>
                    <w:rFonts w:ascii="Cambria Math" w:hAnsi="Cambria Math"/>
                    <w:i/>
                    <w:iCs/>
                  </w:rPr>
                </m:ctrlPr>
              </m:sup>
            </m:sSup>
            <m:d>
              <m:dPr>
                <m:ctrlPr>
                  <w:rPr>
                    <w:rFonts w:ascii="Cambria Math" w:hAnsi="Cambria Math"/>
                    <w:i/>
                    <w:iCs/>
                  </w:rPr>
                </m:ctrlPr>
              </m:dPr>
              <m:e>
                <m:sSub>
                  <m:sSubPr>
                    <m:ctrlPr>
                      <w:rPr>
                        <w:rFonts w:ascii="Cambria Math" w:hAnsi="Cambria Math"/>
                        <w:i/>
                        <w:iCs/>
                      </w:rPr>
                    </m:ctrlPr>
                  </m:sSubPr>
                  <m:e>
                    <m:r>
                      <m:rPr/>
                      <w:rPr>
                        <w:rFonts w:ascii="Cambria Math" w:hAnsi="Cambria Math"/>
                      </w:rPr>
                      <m:t>P</m:t>
                    </m:r>
                    <m:ctrlPr>
                      <w:rPr>
                        <w:rFonts w:ascii="Cambria Math" w:hAnsi="Cambria Math"/>
                        <w:i/>
                        <w:iCs/>
                      </w:rPr>
                    </m:ctrlPr>
                  </m:e>
                  <m:sub>
                    <m:r>
                      <m:rPr/>
                      <w:rPr>
                        <w:rFonts w:ascii="Cambria Math" w:hAnsi="Cambria Math"/>
                      </w:rPr>
                      <m:t>1</m:t>
                    </m:r>
                    <m:ctrlPr>
                      <w:rPr>
                        <w:rFonts w:ascii="Cambria Math" w:hAnsi="Cambria Math"/>
                        <w:i/>
                        <w:iCs/>
                      </w:rPr>
                    </m:ctrlPr>
                  </m:sub>
                </m:sSub>
                <m:ctrlPr>
                  <w:rPr>
                    <w:rFonts w:ascii="Cambria Math" w:hAnsi="Cambria Math"/>
                    <w:i/>
                    <w:iCs/>
                  </w:rPr>
                </m:ctrlPr>
              </m:e>
            </m:d>
            <m:r>
              <m:rPr/>
              <w:rPr>
                <w:rFonts w:ascii="Cambria Math" w:hAnsi="Cambria Math"/>
              </w:rPr>
              <m:t>+</m:t>
            </m:r>
            <m:sSup>
              <m:sSupPr>
                <m:ctrlPr>
                  <w:rPr>
                    <w:rFonts w:ascii="Cambria Math" w:hAnsi="Cambria Math"/>
                    <w:i/>
                    <w:iCs/>
                  </w:rPr>
                </m:ctrlPr>
              </m:sSupPr>
              <m:e>
                <m:r>
                  <m:rPr/>
                  <w:rPr>
                    <w:rFonts w:hint="eastAsia" w:ascii="Cambria Math" w:hAnsi="Cambria Math"/>
                  </w:rPr>
                  <m:t>u</m:t>
                </m:r>
                <m:ctrlPr>
                  <w:rPr>
                    <w:rFonts w:ascii="Cambria Math" w:hAnsi="Cambria Math"/>
                    <w:i/>
                    <w:iCs/>
                  </w:rPr>
                </m:ctrlPr>
              </m:e>
              <m:sup>
                <m:r>
                  <m:rPr/>
                  <w:rPr>
                    <w:rFonts w:ascii="Cambria Math" w:hAnsi="Cambria Math"/>
                  </w:rPr>
                  <m:t>2</m:t>
                </m:r>
                <m:ctrlPr>
                  <w:rPr>
                    <w:rFonts w:ascii="Cambria Math" w:hAnsi="Cambria Math"/>
                    <w:i/>
                    <w:iCs/>
                  </w:rPr>
                </m:ctrlPr>
              </m:sup>
            </m:sSup>
            <m:d>
              <m:dPr>
                <m:ctrlPr>
                  <w:rPr>
                    <w:rFonts w:ascii="Cambria Math" w:hAnsi="Cambria Math"/>
                    <w:i/>
                    <w:iCs/>
                  </w:rPr>
                </m:ctrlPr>
              </m:dPr>
              <m:e>
                <m:sSub>
                  <m:sSubPr>
                    <m:ctrlPr>
                      <w:rPr>
                        <w:rFonts w:ascii="Cambria Math" w:hAnsi="Cambria Math"/>
                        <w:i/>
                        <w:iCs/>
                      </w:rPr>
                    </m:ctrlPr>
                  </m:sSubPr>
                  <m:e>
                    <m:r>
                      <m:rPr/>
                      <w:rPr>
                        <w:rFonts w:ascii="Cambria Math" w:hAnsi="Cambria Math"/>
                      </w:rPr>
                      <m:t>P</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i/>
                    <w:iCs/>
                  </w:rPr>
                </m:ctrlPr>
              </m:e>
            </m:d>
            <m:ctrlPr>
              <w:rPr>
                <w:rFonts w:ascii="Cambria Math" w:hAnsi="Cambria Math"/>
                <w:i/>
                <w:iCs/>
              </w:rPr>
            </m:ctrlPr>
          </m:e>
        </m:rad>
        <m:r>
          <m:rPr/>
          <w:rPr>
            <w:rFonts w:ascii="Cambria Math" w:hAnsi="Cambria Math"/>
          </w:rPr>
          <m:t>=0.36</m:t>
        </m:r>
      </m:oMath>
      <w:r>
        <w:rPr>
          <w:rFonts w:eastAsia="黑体"/>
        </w:rPr>
        <w:t>μm</w:t>
      </w:r>
      <w:r>
        <w:rPr>
          <w:rFonts w:eastAsia="黑体"/>
          <w:iCs/>
        </w:rPr>
        <w:tab/>
      </w:r>
      <w:r>
        <w:rPr>
          <w:rFonts w:hint="eastAsia"/>
        </w:rPr>
        <w:t>(C.6)</w:t>
      </w:r>
    </w:p>
    <w:p w14:paraId="1F0B078B">
      <w:pPr>
        <w:pStyle w:val="56"/>
      </w:pPr>
      <w:r>
        <w:rPr>
          <w:rFonts w:hint="eastAsia"/>
        </w:rPr>
        <w:t>C.4.5 扩展不确定度</w:t>
      </w:r>
    </w:p>
    <w:p w14:paraId="052D2DA6">
      <w:pPr>
        <w:ind w:firstLine="0" w:firstLineChars="0"/>
        <w:rPr>
          <w:rStyle w:val="24"/>
          <w:rFonts w:eastAsia="宋体"/>
          <w:b/>
          <w:i/>
          <w:iCs/>
        </w:rPr>
      </w:pPr>
      <w:r>
        <w:rPr>
          <w:rFonts w:eastAsia="黑体"/>
          <w:iCs/>
        </w:rPr>
        <w:tab/>
      </w:r>
      <m:oMath>
        <m:r>
          <m:rPr/>
          <w:rPr>
            <w:rFonts w:ascii="Cambria Math" w:hAnsi="Cambria Math"/>
          </w:rPr>
          <m:t>U</m:t>
        </m:r>
        <m:d>
          <m:dPr>
            <m:ctrlPr>
              <w:rPr>
                <w:rFonts w:ascii="Cambria Math" w:hAnsi="Cambria Math"/>
                <w:i/>
                <w:iCs/>
              </w:rPr>
            </m:ctrlPr>
          </m:dPr>
          <m:e>
            <m:r>
              <m:rPr/>
              <w:rPr>
                <w:rFonts w:ascii="Cambria Math" w:hAnsi="Cambria Math"/>
              </w:rPr>
              <m:t>P</m:t>
            </m:r>
            <m:ctrlPr>
              <w:rPr>
                <w:rFonts w:ascii="Cambria Math" w:hAnsi="Cambria Math"/>
                <w:i/>
                <w:iCs/>
              </w:rPr>
            </m:ctrlPr>
          </m:e>
        </m:d>
        <m:r>
          <m:rPr/>
          <w:rPr>
            <w:rFonts w:ascii="Cambria Math" w:hAnsi="Cambria Math"/>
          </w:rPr>
          <m:t>=</m:t>
        </m:r>
        <m:r>
          <m:rPr/>
          <w:rPr>
            <w:rFonts w:hint="eastAsia" w:ascii="Cambria Math" w:hAnsi="Cambria Math"/>
          </w:rPr>
          <m:t>k</m:t>
        </m:r>
        <m:r>
          <m:rPr/>
          <w:rPr>
            <w:rFonts w:ascii="Cambria Math" w:hAnsi="Cambria Math"/>
          </w:rPr>
          <m:t>×</m:t>
        </m:r>
        <m:r>
          <m:rPr/>
          <w:rPr>
            <w:rFonts w:hint="eastAsia" w:ascii="Cambria Math" w:hAnsi="Cambria Math"/>
          </w:rPr>
          <m:t>u</m:t>
        </m:r>
        <m:d>
          <m:dPr>
            <m:begChr m:val="（"/>
            <m:endChr m:val="）"/>
            <m:ctrlPr>
              <w:rPr>
                <w:rFonts w:ascii="Cambria Math" w:hAnsi="Cambria Math"/>
                <w:i/>
                <w:iCs/>
              </w:rPr>
            </m:ctrlPr>
          </m:dPr>
          <m:e>
            <m:r>
              <m:rPr/>
              <w:rPr>
                <w:rFonts w:ascii="Cambria Math" w:hAnsi="Cambria Math"/>
              </w:rPr>
              <m:t>P</m:t>
            </m:r>
            <m:ctrlPr>
              <w:rPr>
                <w:rFonts w:ascii="Cambria Math" w:hAnsi="Cambria Math"/>
                <w:i/>
                <w:iCs/>
              </w:rPr>
            </m:ctrlPr>
          </m:e>
        </m:d>
        <m:r>
          <m:rPr/>
          <w:rPr>
            <w:rFonts w:ascii="Cambria Math" w:hAnsi="Cambria Math"/>
          </w:rPr>
          <m:t>=</m:t>
        </m:r>
      </m:oMath>
      <w:r>
        <w:rPr>
          <w:rFonts w:hint="eastAsia" w:eastAsia="黑体"/>
        </w:rPr>
        <w:t>0.72</w:t>
      </w:r>
      <w:r>
        <w:rPr>
          <w:rFonts w:eastAsia="黑体"/>
        </w:rPr>
        <w:t>μm</w:t>
      </w:r>
      <w:r>
        <w:rPr>
          <w:rFonts w:hint="eastAsia"/>
          <w:i/>
          <w:iCs/>
        </w:rPr>
        <w:t xml:space="preserve"> </w:t>
      </w:r>
      <w:r>
        <w:rPr>
          <w:i/>
          <w:iCs/>
        </w:rPr>
        <w:tab/>
      </w:r>
      <w:r>
        <w:rPr>
          <w:rFonts w:hint="eastAsia"/>
        </w:rPr>
        <w:t>(C.7)</w:t>
      </w:r>
    </w:p>
    <w:p w14:paraId="1586D863">
      <w:pPr>
        <w:widowControl/>
        <w:tabs>
          <w:tab w:val="clear" w:pos="4150"/>
          <w:tab w:val="clear" w:pos="10103"/>
        </w:tabs>
        <w:spacing w:line="240" w:lineRule="auto"/>
        <w:ind w:firstLine="0" w:firstLineChars="0"/>
        <w:jc w:val="left"/>
        <w:rPr>
          <w:rFonts w:hint="eastAsia" w:ascii="黑体" w:hAnsi="黑体" w:eastAsia="黑体"/>
          <w:sz w:val="28"/>
          <w:szCs w:val="28"/>
        </w:rPr>
      </w:pPr>
    </w:p>
    <w:p w14:paraId="46188C8C">
      <w:pPr>
        <w:widowControl/>
        <w:tabs>
          <w:tab w:val="clear" w:pos="4150"/>
          <w:tab w:val="clear" w:pos="10103"/>
        </w:tabs>
        <w:spacing w:line="240" w:lineRule="auto"/>
        <w:ind w:firstLine="0" w:firstLineChars="0"/>
        <w:jc w:val="left"/>
        <w:rPr>
          <w:rFonts w:hint="eastAsia" w:ascii="黑体" w:hAnsi="黑体" w:eastAsia="黑体"/>
          <w:sz w:val="28"/>
          <w:szCs w:val="28"/>
        </w:rPr>
      </w:pPr>
    </w:p>
    <w:p w14:paraId="46A64D8A">
      <w:pPr>
        <w:widowControl/>
        <w:tabs>
          <w:tab w:val="clear" w:pos="4150"/>
          <w:tab w:val="clear" w:pos="10103"/>
        </w:tabs>
        <w:spacing w:line="240" w:lineRule="auto"/>
        <w:ind w:firstLine="0" w:firstLineChars="0"/>
        <w:jc w:val="left"/>
        <w:rPr>
          <w:rFonts w:hint="eastAsia" w:ascii="黑体" w:hAnsi="黑体" w:eastAsia="黑体"/>
          <w:sz w:val="28"/>
          <w:szCs w:val="28"/>
        </w:rPr>
      </w:pPr>
    </w:p>
    <w:p w14:paraId="20AADB17">
      <w:pPr>
        <w:widowControl/>
        <w:tabs>
          <w:tab w:val="clear" w:pos="4150"/>
          <w:tab w:val="clear" w:pos="10103"/>
        </w:tabs>
        <w:spacing w:line="240" w:lineRule="auto"/>
        <w:ind w:firstLine="0" w:firstLineChars="0"/>
        <w:jc w:val="left"/>
        <w:rPr>
          <w:rFonts w:hint="eastAsia" w:ascii="黑体" w:hAnsi="黑体" w:eastAsia="黑体"/>
          <w:sz w:val="28"/>
          <w:szCs w:val="28"/>
        </w:rPr>
      </w:pPr>
    </w:p>
    <w:p w14:paraId="0884B134">
      <w:pPr>
        <w:widowControl/>
        <w:tabs>
          <w:tab w:val="clear" w:pos="4150"/>
          <w:tab w:val="clear" w:pos="10103"/>
        </w:tabs>
        <w:spacing w:line="240" w:lineRule="auto"/>
        <w:ind w:firstLine="0" w:firstLineChars="0"/>
        <w:jc w:val="left"/>
        <w:rPr>
          <w:rFonts w:hint="eastAsia" w:ascii="黑体" w:hAnsi="黑体" w:eastAsia="黑体"/>
          <w:sz w:val="28"/>
          <w:szCs w:val="28"/>
        </w:rPr>
      </w:pPr>
    </w:p>
    <w:p w14:paraId="338116C9">
      <w:pPr>
        <w:widowControl/>
        <w:tabs>
          <w:tab w:val="clear" w:pos="4150"/>
          <w:tab w:val="clear" w:pos="10103"/>
        </w:tabs>
        <w:spacing w:line="240" w:lineRule="auto"/>
        <w:ind w:firstLine="0" w:firstLineChars="0"/>
        <w:jc w:val="left"/>
        <w:rPr>
          <w:rFonts w:hint="eastAsia" w:ascii="黑体" w:hAnsi="黑体" w:eastAsia="黑体"/>
          <w:sz w:val="28"/>
          <w:szCs w:val="28"/>
        </w:rPr>
      </w:pPr>
    </w:p>
    <w:p w14:paraId="00497D95">
      <w:pPr>
        <w:widowControl/>
        <w:tabs>
          <w:tab w:val="clear" w:pos="4150"/>
          <w:tab w:val="clear" w:pos="10103"/>
        </w:tabs>
        <w:spacing w:line="240" w:lineRule="auto"/>
        <w:ind w:firstLine="0" w:firstLineChars="0"/>
        <w:jc w:val="left"/>
        <w:rPr>
          <w:rFonts w:hint="eastAsia" w:ascii="黑体" w:hAnsi="黑体" w:eastAsia="黑体"/>
          <w:sz w:val="28"/>
          <w:szCs w:val="28"/>
        </w:rPr>
      </w:pPr>
    </w:p>
    <w:p w14:paraId="6953AB6D">
      <w:pPr>
        <w:widowControl/>
        <w:tabs>
          <w:tab w:val="clear" w:pos="4150"/>
          <w:tab w:val="clear" w:pos="10103"/>
        </w:tabs>
        <w:spacing w:line="240" w:lineRule="auto"/>
        <w:ind w:firstLine="0" w:firstLineChars="0"/>
        <w:jc w:val="left"/>
        <w:rPr>
          <w:rFonts w:hint="eastAsia" w:ascii="黑体" w:hAnsi="黑体" w:eastAsia="黑体"/>
          <w:sz w:val="28"/>
          <w:szCs w:val="28"/>
        </w:rPr>
      </w:pPr>
    </w:p>
    <w:p w14:paraId="16D4A376">
      <w:pPr>
        <w:widowControl/>
        <w:tabs>
          <w:tab w:val="clear" w:pos="4150"/>
          <w:tab w:val="clear" w:pos="10103"/>
        </w:tabs>
        <w:spacing w:line="240" w:lineRule="auto"/>
        <w:ind w:firstLine="0" w:firstLineChars="0"/>
        <w:jc w:val="left"/>
        <w:rPr>
          <w:rFonts w:hint="eastAsia" w:ascii="黑体" w:hAnsi="黑体" w:eastAsia="黑体"/>
          <w:sz w:val="28"/>
          <w:szCs w:val="28"/>
        </w:rPr>
      </w:pPr>
    </w:p>
    <w:p w14:paraId="7127FF44">
      <w:pPr>
        <w:pStyle w:val="6"/>
        <w:tabs>
          <w:tab w:val="left" w:pos="425"/>
        </w:tabs>
        <w:adjustRightInd w:val="0"/>
        <w:spacing w:before="120" w:after="120" w:line="300" w:lineRule="auto"/>
        <w:ind w:left="0" w:right="221" w:firstLine="480"/>
        <w:jc w:val="left"/>
        <w:rPr>
          <w:b/>
          <w:color w:val="000000"/>
          <w:sz w:val="24"/>
          <w:szCs w:val="24"/>
          <w:u w:val="single"/>
        </w:rPr>
      </w:pPr>
      <w:r>
        <w:rPr>
          <w:rFonts w:hint="eastAsia"/>
          <w:sz w:val="24"/>
          <w:szCs w:val="24"/>
        </w:rPr>
        <w:t xml:space="preserve">                     </w:t>
      </w:r>
      <w:r>
        <w:rPr>
          <w:b/>
          <w:sz w:val="24"/>
          <w:szCs w:val="24"/>
        </w:rPr>
        <w:t xml:space="preserve"> </w:t>
      </w:r>
      <w:r>
        <w:rPr>
          <w:b/>
          <w:sz w:val="24"/>
          <w:szCs w:val="24"/>
          <w:u w:val="single"/>
        </w:rPr>
        <w:t xml:space="preserve">                       </w:t>
      </w:r>
      <w:r>
        <w:rPr>
          <w:b/>
          <w:color w:val="000000"/>
          <w:sz w:val="24"/>
          <w:szCs w:val="24"/>
          <w:u w:val="single"/>
        </w:rPr>
        <w:t xml:space="preserve">  </w:t>
      </w:r>
    </w:p>
    <w:p w14:paraId="68501D8E">
      <w:pPr>
        <w:pStyle w:val="6"/>
        <w:tabs>
          <w:tab w:val="left" w:pos="425"/>
        </w:tabs>
        <w:adjustRightInd w:val="0"/>
        <w:spacing w:before="120" w:after="120" w:line="300" w:lineRule="auto"/>
        <w:ind w:left="0" w:right="221" w:firstLine="482"/>
        <w:jc w:val="left"/>
        <w:rPr>
          <w:b/>
          <w:color w:val="000000"/>
          <w:sz w:val="24"/>
          <w:szCs w:val="24"/>
          <w:u w:val="single"/>
        </w:rPr>
      </w:pPr>
    </w:p>
    <w:p w14:paraId="3911AE3E">
      <w:pPr>
        <w:pStyle w:val="6"/>
        <w:tabs>
          <w:tab w:val="left" w:pos="425"/>
        </w:tabs>
        <w:adjustRightInd w:val="0"/>
        <w:spacing w:before="120" w:after="120" w:line="300" w:lineRule="auto"/>
        <w:ind w:left="0" w:right="221" w:firstLine="482"/>
        <w:jc w:val="left"/>
        <w:rPr>
          <w:b/>
          <w:color w:val="000000"/>
          <w:sz w:val="24"/>
          <w:szCs w:val="24"/>
          <w:u w:val="single"/>
        </w:rPr>
      </w:pPr>
    </w:p>
    <w:p w14:paraId="672C321B">
      <w:pPr>
        <w:pStyle w:val="6"/>
        <w:tabs>
          <w:tab w:val="left" w:pos="425"/>
        </w:tabs>
        <w:adjustRightInd w:val="0"/>
        <w:spacing w:before="120" w:after="120" w:line="300" w:lineRule="auto"/>
        <w:ind w:left="0" w:right="221" w:firstLine="482"/>
        <w:jc w:val="left"/>
        <w:rPr>
          <w:b/>
          <w:color w:val="000000"/>
          <w:sz w:val="24"/>
          <w:szCs w:val="24"/>
          <w:u w:val="single"/>
        </w:rPr>
      </w:pPr>
    </w:p>
    <w:p w14:paraId="6579473B">
      <w:pPr>
        <w:pStyle w:val="6"/>
        <w:tabs>
          <w:tab w:val="left" w:pos="425"/>
        </w:tabs>
        <w:adjustRightInd w:val="0"/>
        <w:spacing w:before="120" w:after="120" w:line="300" w:lineRule="auto"/>
        <w:ind w:left="0" w:right="221" w:firstLine="482"/>
        <w:jc w:val="left"/>
        <w:rPr>
          <w:b/>
          <w:color w:val="000000"/>
          <w:sz w:val="24"/>
          <w:szCs w:val="24"/>
          <w:u w:val="single"/>
        </w:rPr>
      </w:pPr>
    </w:p>
    <w:p w14:paraId="5A80487A">
      <w:pPr>
        <w:pStyle w:val="6"/>
        <w:tabs>
          <w:tab w:val="left" w:pos="425"/>
        </w:tabs>
        <w:adjustRightInd w:val="0"/>
        <w:spacing w:before="120" w:after="120" w:line="300" w:lineRule="auto"/>
        <w:ind w:left="0" w:right="221" w:firstLine="482"/>
        <w:jc w:val="left"/>
        <w:rPr>
          <w:b/>
          <w:color w:val="000000"/>
          <w:sz w:val="24"/>
          <w:szCs w:val="24"/>
          <w:u w:val="single"/>
        </w:rPr>
      </w:pPr>
    </w:p>
    <w:p w14:paraId="135135E9">
      <w:pPr>
        <w:pStyle w:val="6"/>
        <w:tabs>
          <w:tab w:val="left" w:pos="425"/>
        </w:tabs>
        <w:adjustRightInd w:val="0"/>
        <w:spacing w:before="120" w:after="120" w:line="300" w:lineRule="auto"/>
        <w:ind w:left="0" w:right="221" w:firstLine="482"/>
        <w:jc w:val="left"/>
        <w:rPr>
          <w:b/>
          <w:color w:val="000000"/>
          <w:sz w:val="24"/>
          <w:szCs w:val="24"/>
          <w:u w:val="single"/>
        </w:rPr>
      </w:pPr>
    </w:p>
    <w:p w14:paraId="37DAACBE">
      <w:pPr>
        <w:pStyle w:val="6"/>
        <w:tabs>
          <w:tab w:val="left" w:pos="425"/>
        </w:tabs>
        <w:adjustRightInd w:val="0"/>
        <w:spacing w:before="120" w:after="120" w:line="300" w:lineRule="auto"/>
        <w:ind w:left="0" w:right="221" w:firstLine="482"/>
        <w:jc w:val="left"/>
        <w:rPr>
          <w:b/>
          <w:color w:val="000000"/>
          <w:sz w:val="24"/>
          <w:szCs w:val="24"/>
          <w:u w:val="single"/>
        </w:rPr>
      </w:pPr>
    </w:p>
    <w:p w14:paraId="3B37C3E3">
      <w:pPr>
        <w:pStyle w:val="6"/>
        <w:tabs>
          <w:tab w:val="left" w:pos="425"/>
        </w:tabs>
        <w:adjustRightInd w:val="0"/>
        <w:spacing w:before="120" w:after="120" w:line="300" w:lineRule="auto"/>
        <w:ind w:left="0" w:right="221" w:firstLine="482"/>
        <w:jc w:val="left"/>
        <w:rPr>
          <w:b/>
          <w:color w:val="000000"/>
          <w:sz w:val="24"/>
          <w:szCs w:val="24"/>
          <w:u w:val="single"/>
        </w:rPr>
      </w:pPr>
    </w:p>
    <w:p w14:paraId="185EF12A">
      <w:pPr>
        <w:pStyle w:val="6"/>
        <w:tabs>
          <w:tab w:val="left" w:pos="425"/>
        </w:tabs>
        <w:adjustRightInd w:val="0"/>
        <w:spacing w:before="120" w:after="120" w:line="300" w:lineRule="auto"/>
        <w:ind w:left="0" w:right="221" w:firstLine="482"/>
        <w:jc w:val="left"/>
        <w:rPr>
          <w:b/>
          <w:color w:val="000000"/>
          <w:sz w:val="24"/>
          <w:szCs w:val="24"/>
          <w:u w:val="single"/>
        </w:rPr>
      </w:pPr>
    </w:p>
    <w:p w14:paraId="4D2CF21B">
      <w:pPr>
        <w:pStyle w:val="6"/>
        <w:tabs>
          <w:tab w:val="left" w:pos="425"/>
        </w:tabs>
        <w:adjustRightInd w:val="0"/>
        <w:spacing w:before="120" w:after="120" w:line="300" w:lineRule="auto"/>
        <w:ind w:left="0" w:right="221" w:firstLine="482"/>
        <w:jc w:val="left"/>
        <w:rPr>
          <w:b/>
          <w:color w:val="000000"/>
          <w:sz w:val="24"/>
          <w:szCs w:val="24"/>
          <w:u w:val="single"/>
        </w:rPr>
      </w:pPr>
    </w:p>
    <w:p w14:paraId="4707274E">
      <w:pPr>
        <w:pStyle w:val="6"/>
        <w:tabs>
          <w:tab w:val="left" w:pos="425"/>
        </w:tabs>
        <w:adjustRightInd w:val="0"/>
        <w:spacing w:before="120" w:after="120" w:line="300" w:lineRule="auto"/>
        <w:ind w:left="0" w:right="221" w:firstLine="482"/>
        <w:jc w:val="left"/>
        <w:rPr>
          <w:b/>
          <w:color w:val="000000"/>
          <w:sz w:val="24"/>
          <w:szCs w:val="24"/>
          <w:u w:val="single"/>
        </w:rPr>
      </w:pPr>
    </w:p>
    <w:p w14:paraId="3C6F5631">
      <w:pPr>
        <w:pStyle w:val="6"/>
        <w:tabs>
          <w:tab w:val="left" w:pos="425"/>
        </w:tabs>
        <w:adjustRightInd w:val="0"/>
        <w:spacing w:before="120" w:after="120" w:line="300" w:lineRule="auto"/>
        <w:ind w:left="0" w:right="221" w:firstLine="482"/>
        <w:jc w:val="left"/>
        <w:rPr>
          <w:b/>
          <w:color w:val="000000"/>
          <w:sz w:val="24"/>
          <w:szCs w:val="24"/>
          <w:u w:val="single"/>
        </w:rPr>
      </w:pPr>
    </w:p>
    <w:p w14:paraId="4253251C">
      <w:pPr>
        <w:pStyle w:val="6"/>
        <w:tabs>
          <w:tab w:val="left" w:pos="425"/>
        </w:tabs>
        <w:adjustRightInd w:val="0"/>
        <w:spacing w:before="120" w:after="120" w:line="300" w:lineRule="auto"/>
        <w:ind w:left="0" w:right="221" w:firstLine="482"/>
        <w:jc w:val="left"/>
        <w:rPr>
          <w:b/>
          <w:color w:val="000000"/>
          <w:sz w:val="24"/>
          <w:szCs w:val="24"/>
          <w:u w:val="single"/>
        </w:rPr>
      </w:pPr>
    </w:p>
    <w:p w14:paraId="0923E7D1">
      <w:pPr>
        <w:pStyle w:val="6"/>
        <w:tabs>
          <w:tab w:val="left" w:pos="425"/>
        </w:tabs>
        <w:adjustRightInd w:val="0"/>
        <w:spacing w:before="120" w:after="120" w:line="300" w:lineRule="auto"/>
        <w:ind w:left="0" w:right="221" w:firstLine="482"/>
        <w:jc w:val="left"/>
        <w:rPr>
          <w:b/>
          <w:color w:val="000000"/>
          <w:sz w:val="24"/>
          <w:szCs w:val="24"/>
          <w:u w:val="single"/>
        </w:rPr>
      </w:pPr>
    </w:p>
    <w:p w14:paraId="0AD86DFD">
      <w:pPr>
        <w:pStyle w:val="6"/>
        <w:tabs>
          <w:tab w:val="left" w:pos="425"/>
        </w:tabs>
        <w:adjustRightInd w:val="0"/>
        <w:spacing w:before="120" w:after="120" w:line="300" w:lineRule="auto"/>
        <w:ind w:left="0" w:right="221" w:firstLine="482"/>
        <w:jc w:val="left"/>
        <w:rPr>
          <w:b/>
          <w:color w:val="000000"/>
          <w:sz w:val="24"/>
          <w:szCs w:val="24"/>
          <w:u w:val="single"/>
        </w:rPr>
      </w:pPr>
    </w:p>
    <w:p w14:paraId="218EEA7B">
      <w:pPr>
        <w:pStyle w:val="6"/>
        <w:tabs>
          <w:tab w:val="left" w:pos="425"/>
        </w:tabs>
        <w:adjustRightInd w:val="0"/>
        <w:spacing w:before="120" w:after="120" w:line="300" w:lineRule="auto"/>
        <w:ind w:left="0" w:right="221" w:firstLine="482"/>
        <w:jc w:val="left"/>
        <w:rPr>
          <w:b/>
          <w:color w:val="000000"/>
          <w:sz w:val="24"/>
          <w:szCs w:val="24"/>
          <w:u w:val="single"/>
        </w:rPr>
      </w:pPr>
    </w:p>
    <w:p w14:paraId="08DE6E1E">
      <w:pPr>
        <w:pStyle w:val="6"/>
        <w:tabs>
          <w:tab w:val="left" w:pos="425"/>
        </w:tabs>
        <w:adjustRightInd w:val="0"/>
        <w:spacing w:before="120" w:after="120" w:line="300" w:lineRule="auto"/>
        <w:ind w:left="0" w:right="221" w:firstLine="482"/>
        <w:jc w:val="left"/>
        <w:rPr>
          <w:b/>
          <w:color w:val="000000"/>
          <w:sz w:val="24"/>
          <w:szCs w:val="24"/>
          <w:u w:val="single"/>
        </w:rPr>
      </w:pPr>
    </w:p>
    <w:p w14:paraId="3FABFC01">
      <w:pPr>
        <w:pStyle w:val="6"/>
        <w:tabs>
          <w:tab w:val="left" w:pos="425"/>
        </w:tabs>
        <w:adjustRightInd w:val="0"/>
        <w:spacing w:before="120" w:after="120" w:line="300" w:lineRule="auto"/>
        <w:ind w:left="0" w:right="221" w:firstLine="482"/>
        <w:jc w:val="left"/>
        <w:rPr>
          <w:b/>
          <w:color w:val="000000"/>
          <w:sz w:val="24"/>
          <w:szCs w:val="24"/>
          <w:u w:val="single"/>
        </w:rPr>
      </w:pPr>
    </w:p>
    <w:p w14:paraId="56C025A0">
      <w:pPr>
        <w:pStyle w:val="6"/>
        <w:tabs>
          <w:tab w:val="left" w:pos="425"/>
        </w:tabs>
        <w:adjustRightInd w:val="0"/>
        <w:spacing w:before="120" w:after="120" w:line="300" w:lineRule="auto"/>
        <w:ind w:left="0" w:right="221" w:firstLine="482"/>
        <w:jc w:val="left"/>
        <w:rPr>
          <w:b/>
          <w:color w:val="000000"/>
          <w:sz w:val="24"/>
          <w:szCs w:val="24"/>
          <w:u w:val="single"/>
        </w:rPr>
      </w:pPr>
    </w:p>
    <w:p w14:paraId="1C168B99">
      <w:pPr>
        <w:pStyle w:val="6"/>
        <w:tabs>
          <w:tab w:val="left" w:pos="425"/>
        </w:tabs>
        <w:adjustRightInd w:val="0"/>
        <w:spacing w:before="120" w:after="120" w:line="300" w:lineRule="auto"/>
        <w:ind w:left="0" w:right="221" w:firstLine="482"/>
        <w:jc w:val="left"/>
        <w:rPr>
          <w:b/>
          <w:color w:val="000000"/>
          <w:sz w:val="24"/>
          <w:szCs w:val="24"/>
          <w:u w:val="single"/>
        </w:rPr>
      </w:pPr>
    </w:p>
    <w:p w14:paraId="5B9A2EA3">
      <w:pPr>
        <w:spacing w:line="324" w:lineRule="auto"/>
        <w:ind w:firstLine="680"/>
        <w:jc w:val="center"/>
        <w:rPr>
          <w:color w:val="000000"/>
          <w:spacing w:val="30"/>
          <w:sz w:val="28"/>
          <w:szCs w:val="28"/>
        </w:rPr>
      </w:pPr>
      <w:r>
        <w:rPr>
          <w:rFonts w:hint="eastAsia"/>
          <w:color w:val="000000"/>
          <w:spacing w:val="30"/>
          <w:sz w:val="28"/>
          <w:szCs w:val="28"/>
        </w:rPr>
        <w:t>中华人民共和国</w:t>
      </w:r>
    </w:p>
    <w:p w14:paraId="44FC01D9">
      <w:pPr>
        <w:spacing w:line="324" w:lineRule="auto"/>
        <w:ind w:firstLine="680"/>
        <w:jc w:val="center"/>
        <w:rPr>
          <w:color w:val="000000"/>
          <w:spacing w:val="30"/>
          <w:sz w:val="28"/>
          <w:szCs w:val="28"/>
        </w:rPr>
      </w:pPr>
      <w:r>
        <w:rPr>
          <w:rFonts w:hint="eastAsia"/>
          <w:color w:val="000000"/>
          <w:spacing w:val="30"/>
          <w:sz w:val="28"/>
          <w:szCs w:val="28"/>
        </w:rPr>
        <w:t>国家计量技术规范</w:t>
      </w:r>
    </w:p>
    <w:p w14:paraId="12DFCB7C">
      <w:pPr>
        <w:spacing w:line="324" w:lineRule="auto"/>
        <w:ind w:firstLine="760"/>
        <w:jc w:val="center"/>
        <w:rPr>
          <w:rFonts w:eastAsia="黑体"/>
          <w:color w:val="000000"/>
          <w:spacing w:val="50"/>
          <w:sz w:val="28"/>
          <w:szCs w:val="28"/>
        </w:rPr>
      </w:pPr>
      <w:r>
        <w:rPr>
          <w:rFonts w:hint="eastAsia" w:eastAsia="黑体"/>
          <w:color w:val="000000"/>
          <w:spacing w:val="50"/>
          <w:sz w:val="28"/>
          <w:szCs w:val="28"/>
        </w:rPr>
        <w:t>XXXXXXXX</w:t>
      </w:r>
      <w:r>
        <w:rPr>
          <w:rFonts w:eastAsia="黑体"/>
          <w:color w:val="000000"/>
          <w:spacing w:val="50"/>
          <w:sz w:val="28"/>
          <w:szCs w:val="28"/>
        </w:rPr>
        <w:t>校准规范</w:t>
      </w:r>
    </w:p>
    <w:p w14:paraId="2E8E0BDF">
      <w:pPr>
        <w:spacing w:line="324" w:lineRule="auto"/>
        <w:ind w:firstLine="562"/>
        <w:jc w:val="center"/>
        <w:rPr>
          <w:b/>
          <w:color w:val="000000"/>
          <w:sz w:val="28"/>
          <w:szCs w:val="28"/>
        </w:rPr>
      </w:pPr>
      <w:r>
        <w:rPr>
          <w:b/>
          <w:color w:val="000000"/>
          <w:sz w:val="28"/>
          <w:szCs w:val="28"/>
        </w:rPr>
        <w:t>JJF</w:t>
      </w:r>
      <w:r>
        <w:rPr>
          <w:rFonts w:eastAsia="黑体"/>
          <w:color w:val="000000"/>
          <w:sz w:val="28"/>
          <w:szCs w:val="28"/>
        </w:rPr>
        <w:t>XXXX</w:t>
      </w:r>
      <w:r>
        <w:rPr>
          <w:color w:val="000000"/>
          <w:sz w:val="28"/>
          <w:szCs w:val="28"/>
        </w:rPr>
        <w:t>—</w:t>
      </w:r>
      <w:r>
        <w:rPr>
          <w:rFonts w:eastAsia="黑体"/>
          <w:color w:val="000000"/>
          <w:sz w:val="28"/>
          <w:szCs w:val="28"/>
        </w:rPr>
        <w:t>XXXX</w:t>
      </w:r>
    </w:p>
    <w:p w14:paraId="1A6A29DA">
      <w:pPr>
        <w:spacing w:line="324" w:lineRule="auto"/>
        <w:ind w:firstLine="640"/>
        <w:jc w:val="center"/>
        <w:rPr>
          <w:color w:val="000000"/>
        </w:rPr>
      </w:pPr>
      <w:r>
        <w:rPr>
          <w:rFonts w:hint="eastAsia"/>
          <w:color w:val="000000"/>
          <w:spacing w:val="20"/>
          <w:sz w:val="28"/>
          <w:szCs w:val="28"/>
        </w:rPr>
        <w:t>国家市场监督管理总局</w:t>
      </w:r>
      <w:r>
        <w:rPr>
          <w:color w:val="000000"/>
          <w:spacing w:val="20"/>
          <w:sz w:val="28"/>
          <w:szCs w:val="28"/>
        </w:rPr>
        <w:t>发布</w:t>
      </w:r>
    </w:p>
    <w:p w14:paraId="5CB83AC6">
      <w:pPr>
        <w:widowControl/>
        <w:tabs>
          <w:tab w:val="clear" w:pos="4150"/>
          <w:tab w:val="clear" w:pos="10103"/>
        </w:tabs>
        <w:ind w:firstLine="0" w:firstLineChars="0"/>
        <w:jc w:val="left"/>
        <w:rPr>
          <w:rFonts w:ascii="Arial" w:hAnsi="Arial" w:cs="Arial"/>
        </w:rPr>
      </w:pPr>
    </w:p>
    <w:sectPr>
      <w:footerReference r:id="rId16" w:type="default"/>
      <w:pgSz w:w="11906" w:h="16838"/>
      <w:pgMar w:top="1264" w:right="1418" w:bottom="1418" w:left="1418" w:header="851" w:footer="992" w:gutter="0"/>
      <w:pgNumType w:start="1"/>
      <w:cols w:space="720"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方正大标宋简体">
    <w:altName w:val="微软雅黑"/>
    <w:panose1 w:val="00000000000000000000"/>
    <w:charset w:val="86"/>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2CA5C">
    <w:pPr>
      <w:pStyle w:val="11"/>
      <w:ind w:firstLine="1040"/>
      <w:jc w:val="center"/>
      <w:rPr>
        <w:spacing w:val="40"/>
        <w:sz w:val="4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F69DA">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C3AB7">
    <w:pPr>
      <w:pStyle w:val="11"/>
      <w:ind w:firstLine="8640" w:firstLineChars="4800"/>
    </w:pPr>
    <w:r>
      <w:rPr>
        <w:rFonts w:hint="eastAsia"/>
      </w:rPr>
      <w:tab/>
    </w:r>
    <w:r>
      <w:rPr>
        <w:rFonts w:hint="eastAsia"/>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11D58">
    <w:pPr>
      <w:pStyle w:val="11"/>
      <w:ind w:firstLine="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CD26F">
    <w:pPr>
      <w:pStyle w:val="11"/>
      <w:ind w:firstLine="420"/>
      <w:jc w:val="right"/>
      <w:rPr>
        <w:rFonts w:hint="eastAsia"/>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6</w:t>
    </w:r>
    <w:r>
      <w:rPr>
        <w:sz w:val="21"/>
        <w:szCs w:val="21"/>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DDDAF">
    <w:pPr>
      <w:pStyle w:val="11"/>
      <w:ind w:firstLine="420"/>
      <w:jc w:val="right"/>
      <w:rPr>
        <w:rFonts w:hint="eastAsia"/>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6</w:t>
    </w:r>
    <w:r>
      <w:rPr>
        <w:sz w:val="21"/>
        <w:szCs w:val="21"/>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24118">
    <w:pPr>
      <w:pStyle w:val="12"/>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97E93">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F3A01">
    <w:pPr>
      <w:pStyle w:val="12"/>
      <w:ind w:firstLine="482"/>
      <w:rPr>
        <w:b/>
        <w:bCs/>
        <w:sz w:val="24"/>
      </w:rPr>
    </w:pPr>
  </w:p>
  <w:p w14:paraId="7D50F367">
    <w:pPr>
      <w:pStyle w:val="12"/>
      <w:ind w:firstLine="422"/>
      <w:rPr>
        <w:sz w:val="24"/>
      </w:rPr>
    </w:pPr>
    <w:r>
      <w:rPr>
        <w:rFonts w:hint="eastAsia" w:ascii="黑体" w:hAnsi="黑体" w:eastAsia="黑体"/>
        <w:b/>
        <w:bCs/>
        <w:sz w:val="21"/>
        <w:szCs w:val="21"/>
      </w:rPr>
      <w:t>JJF 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194B3">
    <w:pPr>
      <w:pStyle w:val="12"/>
      <w:ind w:firstLine="360"/>
    </w:pPr>
    <w:r>
      <w:rPr>
        <w:rFonts w:hint="eastAsia"/>
      </w:rPr>
      <w:t>JJF XXXX</w:t>
    </w:r>
    <w:r>
      <w:t>-</w:t>
    </w:r>
    <w:r>
      <w:rPr>
        <w:rFonts w:hint="eastAsia"/>
      </w:rPr>
      <w:t>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1B758">
    <w:pPr>
      <w:pStyle w:val="12"/>
      <w:ind w:firstLine="360"/>
    </w:pPr>
    <w:r>
      <w:rPr>
        <w:rFonts w:hint="eastAsia"/>
      </w:rPr>
      <w:t>JJF XXXX</w:t>
    </w:r>
    <w:r>
      <w:t>-</w:t>
    </w:r>
    <w:r>
      <w:rPr>
        <w:rFonts w:hint="eastAsia"/>
      </w:rPr>
      <w:t>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11BD8">
    <w:pPr>
      <w:pStyle w:val="12"/>
      <w:ind w:firstLine="420"/>
      <w:rPr>
        <w:rFonts w:hint="eastAsia" w:ascii="黑体" w:hAnsi="黑体" w:eastAsia="黑体"/>
        <w:sz w:val="21"/>
        <w:szCs w:val="21"/>
      </w:rPr>
    </w:pPr>
    <w:r>
      <w:rPr>
        <w:rFonts w:hint="eastAsia" w:ascii="黑体" w:hAnsi="黑体" w:eastAsia="黑体"/>
        <w:sz w:val="21"/>
        <w:szCs w:val="21"/>
      </w:rPr>
      <w:t>JJF XXXX</w:t>
    </w:r>
    <w:r>
      <w:rPr>
        <w:rFonts w:ascii="黑体" w:hAnsi="黑体" w:eastAsia="黑体"/>
        <w:sz w:val="21"/>
        <w:szCs w:val="21"/>
      </w:rPr>
      <w:t>-</w:t>
    </w:r>
    <w:r>
      <w:rPr>
        <w:rFonts w:hint="eastAsia" w:ascii="黑体" w:hAnsi="黑体" w:eastAsia="黑体"/>
        <w:sz w:val="21"/>
        <w:szCs w:val="21"/>
      </w:rPr>
      <w:t>XXXX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documentProtection w:enforcement="0"/>
  <w:defaultTabStop w:val="420"/>
  <w:doNotHyphenateCaps/>
  <w:drawingGridHorizontalSpacing w:val="120"/>
  <w:drawingGridVerticalSpacing w:val="163"/>
  <w:displayHorizontalDrawingGridEvery w:val="0"/>
  <w:displayVerticalDrawingGridEvery w:val="2"/>
  <w:characterSpacingControl w:val="compressPunctuation"/>
  <w:noLineBreaksAfter w:lang="zh-CN" w:val="([{·‘“〈《「『【〔〖（．［｛￡￥"/>
  <w:noLineBreaksBefore w:lang="zh-CN" w:val="!),.:;?]}¨·ˇˉ―‖’”…∶、。〃々〉》」』】〕〗！＂＇），．：；？］｀｜｝～￠"/>
  <w:doNotValidateAgainstSchema/>
  <w:doNotDemarcateInvalidXml/>
  <w:footnotePr>
    <w:numFmt w:val="decimalFullWidth"/>
    <w:numRestart w:val="eachPage"/>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D405D8"/>
    <w:rsid w:val="0000049F"/>
    <w:rsid w:val="00004D99"/>
    <w:rsid w:val="00004DB0"/>
    <w:rsid w:val="000079AA"/>
    <w:rsid w:val="00007E8D"/>
    <w:rsid w:val="0001516D"/>
    <w:rsid w:val="0001519C"/>
    <w:rsid w:val="000153C6"/>
    <w:rsid w:val="00024155"/>
    <w:rsid w:val="000304C7"/>
    <w:rsid w:val="00031DD5"/>
    <w:rsid w:val="000325F8"/>
    <w:rsid w:val="000414CE"/>
    <w:rsid w:val="00050D2E"/>
    <w:rsid w:val="0006290B"/>
    <w:rsid w:val="000640DF"/>
    <w:rsid w:val="00065859"/>
    <w:rsid w:val="000718BE"/>
    <w:rsid w:val="0007397F"/>
    <w:rsid w:val="000739A2"/>
    <w:rsid w:val="00073A4B"/>
    <w:rsid w:val="00077085"/>
    <w:rsid w:val="00077782"/>
    <w:rsid w:val="00081EE8"/>
    <w:rsid w:val="0008200E"/>
    <w:rsid w:val="000820E2"/>
    <w:rsid w:val="0009004A"/>
    <w:rsid w:val="00090800"/>
    <w:rsid w:val="0009410B"/>
    <w:rsid w:val="00097050"/>
    <w:rsid w:val="000A10F1"/>
    <w:rsid w:val="000A4A21"/>
    <w:rsid w:val="000A5B25"/>
    <w:rsid w:val="000A5BB1"/>
    <w:rsid w:val="000A6D98"/>
    <w:rsid w:val="000B265F"/>
    <w:rsid w:val="000B6AC8"/>
    <w:rsid w:val="000B787D"/>
    <w:rsid w:val="000C097B"/>
    <w:rsid w:val="000C0B2B"/>
    <w:rsid w:val="000C134C"/>
    <w:rsid w:val="000C297B"/>
    <w:rsid w:val="000C3E71"/>
    <w:rsid w:val="000C5EF3"/>
    <w:rsid w:val="000D0DE6"/>
    <w:rsid w:val="000E2549"/>
    <w:rsid w:val="000E6736"/>
    <w:rsid w:val="000E7181"/>
    <w:rsid w:val="000F29A1"/>
    <w:rsid w:val="00103585"/>
    <w:rsid w:val="0011182A"/>
    <w:rsid w:val="001139A7"/>
    <w:rsid w:val="001146A0"/>
    <w:rsid w:val="0012579D"/>
    <w:rsid w:val="001322D1"/>
    <w:rsid w:val="00136D08"/>
    <w:rsid w:val="00140F98"/>
    <w:rsid w:val="00141A88"/>
    <w:rsid w:val="00143E86"/>
    <w:rsid w:val="00144A22"/>
    <w:rsid w:val="00146D0A"/>
    <w:rsid w:val="00152C19"/>
    <w:rsid w:val="00152F84"/>
    <w:rsid w:val="00154D3E"/>
    <w:rsid w:val="0016303A"/>
    <w:rsid w:val="00167EF5"/>
    <w:rsid w:val="00170415"/>
    <w:rsid w:val="00175758"/>
    <w:rsid w:val="0017637E"/>
    <w:rsid w:val="00176FC7"/>
    <w:rsid w:val="001826FD"/>
    <w:rsid w:val="00185AC5"/>
    <w:rsid w:val="00190592"/>
    <w:rsid w:val="00193859"/>
    <w:rsid w:val="001951EE"/>
    <w:rsid w:val="001A070C"/>
    <w:rsid w:val="001A089D"/>
    <w:rsid w:val="001A3B0B"/>
    <w:rsid w:val="001B3873"/>
    <w:rsid w:val="001C6169"/>
    <w:rsid w:val="001C68C2"/>
    <w:rsid w:val="001D02A6"/>
    <w:rsid w:val="001D23AE"/>
    <w:rsid w:val="001D4A06"/>
    <w:rsid w:val="001D5C2F"/>
    <w:rsid w:val="001E0EC9"/>
    <w:rsid w:val="001E13C8"/>
    <w:rsid w:val="001E13DB"/>
    <w:rsid w:val="001E234B"/>
    <w:rsid w:val="001F1A58"/>
    <w:rsid w:val="001F27DB"/>
    <w:rsid w:val="001F5C3B"/>
    <w:rsid w:val="001F630D"/>
    <w:rsid w:val="001F789A"/>
    <w:rsid w:val="0020123B"/>
    <w:rsid w:val="00201512"/>
    <w:rsid w:val="00204E8C"/>
    <w:rsid w:val="0021039A"/>
    <w:rsid w:val="002104BA"/>
    <w:rsid w:val="0021162B"/>
    <w:rsid w:val="002141E8"/>
    <w:rsid w:val="00215483"/>
    <w:rsid w:val="0022466F"/>
    <w:rsid w:val="00226FE3"/>
    <w:rsid w:val="00232998"/>
    <w:rsid w:val="0024018E"/>
    <w:rsid w:val="0024054E"/>
    <w:rsid w:val="00243D48"/>
    <w:rsid w:val="00251519"/>
    <w:rsid w:val="002561B7"/>
    <w:rsid w:val="00257510"/>
    <w:rsid w:val="00267243"/>
    <w:rsid w:val="00270A86"/>
    <w:rsid w:val="00271708"/>
    <w:rsid w:val="0027383D"/>
    <w:rsid w:val="002807CD"/>
    <w:rsid w:val="00281439"/>
    <w:rsid w:val="00287C88"/>
    <w:rsid w:val="00290767"/>
    <w:rsid w:val="00294A20"/>
    <w:rsid w:val="0029639D"/>
    <w:rsid w:val="002A1B6F"/>
    <w:rsid w:val="002A3F1E"/>
    <w:rsid w:val="002A7B84"/>
    <w:rsid w:val="002B2128"/>
    <w:rsid w:val="002B7C60"/>
    <w:rsid w:val="002C0326"/>
    <w:rsid w:val="002C1C04"/>
    <w:rsid w:val="002C323C"/>
    <w:rsid w:val="002C33B0"/>
    <w:rsid w:val="002D3071"/>
    <w:rsid w:val="002D31D9"/>
    <w:rsid w:val="002D3210"/>
    <w:rsid w:val="002D40F6"/>
    <w:rsid w:val="002D7C8E"/>
    <w:rsid w:val="002F646D"/>
    <w:rsid w:val="00301E17"/>
    <w:rsid w:val="003023BF"/>
    <w:rsid w:val="00305D1C"/>
    <w:rsid w:val="00311835"/>
    <w:rsid w:val="00315B55"/>
    <w:rsid w:val="00316D07"/>
    <w:rsid w:val="00320B46"/>
    <w:rsid w:val="0032313F"/>
    <w:rsid w:val="00330428"/>
    <w:rsid w:val="00332704"/>
    <w:rsid w:val="003337EE"/>
    <w:rsid w:val="00335CFB"/>
    <w:rsid w:val="00336E68"/>
    <w:rsid w:val="003416F6"/>
    <w:rsid w:val="00352780"/>
    <w:rsid w:val="00352A51"/>
    <w:rsid w:val="00354ECC"/>
    <w:rsid w:val="00355256"/>
    <w:rsid w:val="00360211"/>
    <w:rsid w:val="00364C66"/>
    <w:rsid w:val="00370495"/>
    <w:rsid w:val="003729EA"/>
    <w:rsid w:val="00372A71"/>
    <w:rsid w:val="0037542D"/>
    <w:rsid w:val="003826AD"/>
    <w:rsid w:val="00382BAE"/>
    <w:rsid w:val="00383BCD"/>
    <w:rsid w:val="00384394"/>
    <w:rsid w:val="0038454F"/>
    <w:rsid w:val="0038605B"/>
    <w:rsid w:val="003912E0"/>
    <w:rsid w:val="0039543F"/>
    <w:rsid w:val="00395870"/>
    <w:rsid w:val="003A19D3"/>
    <w:rsid w:val="003A2C7B"/>
    <w:rsid w:val="003A3E6D"/>
    <w:rsid w:val="003A438D"/>
    <w:rsid w:val="003B01F3"/>
    <w:rsid w:val="003B4F80"/>
    <w:rsid w:val="003B712C"/>
    <w:rsid w:val="003C18A3"/>
    <w:rsid w:val="003C1B1C"/>
    <w:rsid w:val="003D7C43"/>
    <w:rsid w:val="003E06B4"/>
    <w:rsid w:val="003E1E72"/>
    <w:rsid w:val="003E20DE"/>
    <w:rsid w:val="003F10DE"/>
    <w:rsid w:val="003F4F4A"/>
    <w:rsid w:val="00401381"/>
    <w:rsid w:val="00406008"/>
    <w:rsid w:val="00417690"/>
    <w:rsid w:val="0042738C"/>
    <w:rsid w:val="00431CFC"/>
    <w:rsid w:val="004347D9"/>
    <w:rsid w:val="00436022"/>
    <w:rsid w:val="00437344"/>
    <w:rsid w:val="0044401A"/>
    <w:rsid w:val="0044537D"/>
    <w:rsid w:val="004462AA"/>
    <w:rsid w:val="00450112"/>
    <w:rsid w:val="004516C1"/>
    <w:rsid w:val="00454063"/>
    <w:rsid w:val="0045573A"/>
    <w:rsid w:val="00457A47"/>
    <w:rsid w:val="00460196"/>
    <w:rsid w:val="00465DD9"/>
    <w:rsid w:val="00467637"/>
    <w:rsid w:val="00467C7C"/>
    <w:rsid w:val="00471E9E"/>
    <w:rsid w:val="004756E2"/>
    <w:rsid w:val="00482D3E"/>
    <w:rsid w:val="004922D1"/>
    <w:rsid w:val="00493F4F"/>
    <w:rsid w:val="00495913"/>
    <w:rsid w:val="00495DC6"/>
    <w:rsid w:val="004A274B"/>
    <w:rsid w:val="004A3ADC"/>
    <w:rsid w:val="004A4E6E"/>
    <w:rsid w:val="004A56F6"/>
    <w:rsid w:val="004A5951"/>
    <w:rsid w:val="004A7103"/>
    <w:rsid w:val="004B40F6"/>
    <w:rsid w:val="004B438C"/>
    <w:rsid w:val="004B675D"/>
    <w:rsid w:val="004C038A"/>
    <w:rsid w:val="004C0BB5"/>
    <w:rsid w:val="004C2E1D"/>
    <w:rsid w:val="004C3440"/>
    <w:rsid w:val="004C7CD4"/>
    <w:rsid w:val="004D649A"/>
    <w:rsid w:val="004D77C6"/>
    <w:rsid w:val="004E039D"/>
    <w:rsid w:val="004E0E28"/>
    <w:rsid w:val="004E1CF3"/>
    <w:rsid w:val="004E2DE3"/>
    <w:rsid w:val="004E4331"/>
    <w:rsid w:val="004F09FF"/>
    <w:rsid w:val="004F0E08"/>
    <w:rsid w:val="004F535F"/>
    <w:rsid w:val="00502FAF"/>
    <w:rsid w:val="00504190"/>
    <w:rsid w:val="00505F22"/>
    <w:rsid w:val="00511B4B"/>
    <w:rsid w:val="00511EE7"/>
    <w:rsid w:val="00513F7B"/>
    <w:rsid w:val="00514C1F"/>
    <w:rsid w:val="00517F3D"/>
    <w:rsid w:val="00525FF1"/>
    <w:rsid w:val="0053061A"/>
    <w:rsid w:val="00535508"/>
    <w:rsid w:val="00535D40"/>
    <w:rsid w:val="00541BA0"/>
    <w:rsid w:val="00550E29"/>
    <w:rsid w:val="00554365"/>
    <w:rsid w:val="0056453C"/>
    <w:rsid w:val="00567FA5"/>
    <w:rsid w:val="005724BD"/>
    <w:rsid w:val="00573641"/>
    <w:rsid w:val="00581B39"/>
    <w:rsid w:val="00581BD8"/>
    <w:rsid w:val="005876E5"/>
    <w:rsid w:val="00590341"/>
    <w:rsid w:val="0059188C"/>
    <w:rsid w:val="0059227F"/>
    <w:rsid w:val="005A6105"/>
    <w:rsid w:val="005A61B6"/>
    <w:rsid w:val="005A6C62"/>
    <w:rsid w:val="005B3016"/>
    <w:rsid w:val="005B3CBA"/>
    <w:rsid w:val="005B6D29"/>
    <w:rsid w:val="005B7924"/>
    <w:rsid w:val="005C20E4"/>
    <w:rsid w:val="005C6741"/>
    <w:rsid w:val="005D3C0A"/>
    <w:rsid w:val="005D6296"/>
    <w:rsid w:val="005D645F"/>
    <w:rsid w:val="005E77E5"/>
    <w:rsid w:val="005F22A1"/>
    <w:rsid w:val="005F2E3A"/>
    <w:rsid w:val="005F6350"/>
    <w:rsid w:val="00602342"/>
    <w:rsid w:val="00603397"/>
    <w:rsid w:val="00605129"/>
    <w:rsid w:val="00612581"/>
    <w:rsid w:val="0061657C"/>
    <w:rsid w:val="00621743"/>
    <w:rsid w:val="00624C31"/>
    <w:rsid w:val="00624E65"/>
    <w:rsid w:val="00625E44"/>
    <w:rsid w:val="0062662A"/>
    <w:rsid w:val="006268D0"/>
    <w:rsid w:val="00633025"/>
    <w:rsid w:val="00633BCD"/>
    <w:rsid w:val="00635C3E"/>
    <w:rsid w:val="00635D6B"/>
    <w:rsid w:val="006371A2"/>
    <w:rsid w:val="0064388D"/>
    <w:rsid w:val="00645D6B"/>
    <w:rsid w:val="00654111"/>
    <w:rsid w:val="00673604"/>
    <w:rsid w:val="00674266"/>
    <w:rsid w:val="006754AB"/>
    <w:rsid w:val="006771FD"/>
    <w:rsid w:val="00680829"/>
    <w:rsid w:val="00683EAF"/>
    <w:rsid w:val="00686C86"/>
    <w:rsid w:val="006877FD"/>
    <w:rsid w:val="00695E87"/>
    <w:rsid w:val="006A1403"/>
    <w:rsid w:val="006A1ADF"/>
    <w:rsid w:val="006A6AFE"/>
    <w:rsid w:val="006A6C84"/>
    <w:rsid w:val="006B116D"/>
    <w:rsid w:val="006B14A7"/>
    <w:rsid w:val="006B1DCF"/>
    <w:rsid w:val="006B30ED"/>
    <w:rsid w:val="006B3C31"/>
    <w:rsid w:val="006C29E1"/>
    <w:rsid w:val="006C439E"/>
    <w:rsid w:val="006C5EE5"/>
    <w:rsid w:val="006D1D1B"/>
    <w:rsid w:val="006D4D3F"/>
    <w:rsid w:val="006D611E"/>
    <w:rsid w:val="006E0297"/>
    <w:rsid w:val="006E36B0"/>
    <w:rsid w:val="006E473D"/>
    <w:rsid w:val="006F5CD1"/>
    <w:rsid w:val="00705CE7"/>
    <w:rsid w:val="00706A5B"/>
    <w:rsid w:val="00707888"/>
    <w:rsid w:val="00707DA2"/>
    <w:rsid w:val="00713B52"/>
    <w:rsid w:val="007227B5"/>
    <w:rsid w:val="0072409F"/>
    <w:rsid w:val="0072471D"/>
    <w:rsid w:val="0072710B"/>
    <w:rsid w:val="007275B8"/>
    <w:rsid w:val="007275DA"/>
    <w:rsid w:val="00736C5C"/>
    <w:rsid w:val="00742931"/>
    <w:rsid w:val="00742E64"/>
    <w:rsid w:val="00743CE8"/>
    <w:rsid w:val="0074415B"/>
    <w:rsid w:val="007526C4"/>
    <w:rsid w:val="007550A8"/>
    <w:rsid w:val="00756218"/>
    <w:rsid w:val="0076739A"/>
    <w:rsid w:val="007717FF"/>
    <w:rsid w:val="0077628A"/>
    <w:rsid w:val="00777F74"/>
    <w:rsid w:val="0078193A"/>
    <w:rsid w:val="0078201C"/>
    <w:rsid w:val="0078294E"/>
    <w:rsid w:val="007848F6"/>
    <w:rsid w:val="00784A34"/>
    <w:rsid w:val="0078541B"/>
    <w:rsid w:val="00790EF3"/>
    <w:rsid w:val="00794F72"/>
    <w:rsid w:val="007A08EB"/>
    <w:rsid w:val="007A192F"/>
    <w:rsid w:val="007A34F3"/>
    <w:rsid w:val="007A48B7"/>
    <w:rsid w:val="007A5721"/>
    <w:rsid w:val="007B0754"/>
    <w:rsid w:val="007B2960"/>
    <w:rsid w:val="007B2DB2"/>
    <w:rsid w:val="007B63C2"/>
    <w:rsid w:val="007B6EED"/>
    <w:rsid w:val="007C3FD8"/>
    <w:rsid w:val="007D1A37"/>
    <w:rsid w:val="007D2007"/>
    <w:rsid w:val="007D2B1D"/>
    <w:rsid w:val="007E11DF"/>
    <w:rsid w:val="007E314D"/>
    <w:rsid w:val="007E66FD"/>
    <w:rsid w:val="007F2130"/>
    <w:rsid w:val="007F3326"/>
    <w:rsid w:val="007F343D"/>
    <w:rsid w:val="007F65EF"/>
    <w:rsid w:val="007F7077"/>
    <w:rsid w:val="00803849"/>
    <w:rsid w:val="00806556"/>
    <w:rsid w:val="0080765A"/>
    <w:rsid w:val="008104E3"/>
    <w:rsid w:val="0081149A"/>
    <w:rsid w:val="008136AC"/>
    <w:rsid w:val="0081654A"/>
    <w:rsid w:val="00817591"/>
    <w:rsid w:val="00817B03"/>
    <w:rsid w:val="00821648"/>
    <w:rsid w:val="008405E9"/>
    <w:rsid w:val="00843DA2"/>
    <w:rsid w:val="00847094"/>
    <w:rsid w:val="00851FDA"/>
    <w:rsid w:val="00863A5A"/>
    <w:rsid w:val="008660BF"/>
    <w:rsid w:val="00866737"/>
    <w:rsid w:val="00870D29"/>
    <w:rsid w:val="00872375"/>
    <w:rsid w:val="008735D8"/>
    <w:rsid w:val="00875FF3"/>
    <w:rsid w:val="008867CF"/>
    <w:rsid w:val="0088693C"/>
    <w:rsid w:val="00893932"/>
    <w:rsid w:val="00893C4E"/>
    <w:rsid w:val="008944D0"/>
    <w:rsid w:val="0089506C"/>
    <w:rsid w:val="00896255"/>
    <w:rsid w:val="00896A38"/>
    <w:rsid w:val="00896D42"/>
    <w:rsid w:val="008A1217"/>
    <w:rsid w:val="008A3E56"/>
    <w:rsid w:val="008A437F"/>
    <w:rsid w:val="008A7343"/>
    <w:rsid w:val="008A7C9D"/>
    <w:rsid w:val="008B0368"/>
    <w:rsid w:val="008B0C1A"/>
    <w:rsid w:val="008C313F"/>
    <w:rsid w:val="008C36EB"/>
    <w:rsid w:val="008C5D32"/>
    <w:rsid w:val="008D0DED"/>
    <w:rsid w:val="008D1E05"/>
    <w:rsid w:val="008D35DB"/>
    <w:rsid w:val="008D4039"/>
    <w:rsid w:val="008E6417"/>
    <w:rsid w:val="008F07E2"/>
    <w:rsid w:val="008F0E97"/>
    <w:rsid w:val="00901349"/>
    <w:rsid w:val="009038E3"/>
    <w:rsid w:val="00910C4C"/>
    <w:rsid w:val="00911A4A"/>
    <w:rsid w:val="00912106"/>
    <w:rsid w:val="00913914"/>
    <w:rsid w:val="00914FB7"/>
    <w:rsid w:val="00927B4C"/>
    <w:rsid w:val="009304FA"/>
    <w:rsid w:val="00940570"/>
    <w:rsid w:val="00940716"/>
    <w:rsid w:val="00943A0B"/>
    <w:rsid w:val="00944B78"/>
    <w:rsid w:val="00945F66"/>
    <w:rsid w:val="009461FD"/>
    <w:rsid w:val="00954C3F"/>
    <w:rsid w:val="009551D2"/>
    <w:rsid w:val="0096795B"/>
    <w:rsid w:val="00971479"/>
    <w:rsid w:val="00971B0A"/>
    <w:rsid w:val="0097224D"/>
    <w:rsid w:val="00973731"/>
    <w:rsid w:val="00977FF5"/>
    <w:rsid w:val="0098035F"/>
    <w:rsid w:val="00983B47"/>
    <w:rsid w:val="009907A4"/>
    <w:rsid w:val="0099106B"/>
    <w:rsid w:val="009917BD"/>
    <w:rsid w:val="00994048"/>
    <w:rsid w:val="00995BEB"/>
    <w:rsid w:val="009A7AE3"/>
    <w:rsid w:val="009B1B64"/>
    <w:rsid w:val="009B3E06"/>
    <w:rsid w:val="009B56C5"/>
    <w:rsid w:val="009B65EF"/>
    <w:rsid w:val="009C0C39"/>
    <w:rsid w:val="009C17F2"/>
    <w:rsid w:val="009C42E9"/>
    <w:rsid w:val="009C5241"/>
    <w:rsid w:val="009C7D47"/>
    <w:rsid w:val="009D0F46"/>
    <w:rsid w:val="009D6E97"/>
    <w:rsid w:val="009D76CB"/>
    <w:rsid w:val="009E084C"/>
    <w:rsid w:val="009E5767"/>
    <w:rsid w:val="009E6C07"/>
    <w:rsid w:val="009F179A"/>
    <w:rsid w:val="009F4108"/>
    <w:rsid w:val="009F4CC5"/>
    <w:rsid w:val="009F6894"/>
    <w:rsid w:val="009F7A26"/>
    <w:rsid w:val="009F7C2C"/>
    <w:rsid w:val="00A00C34"/>
    <w:rsid w:val="00A029B5"/>
    <w:rsid w:val="00A0348D"/>
    <w:rsid w:val="00A03B51"/>
    <w:rsid w:val="00A10D2C"/>
    <w:rsid w:val="00A13C89"/>
    <w:rsid w:val="00A167F7"/>
    <w:rsid w:val="00A20CD4"/>
    <w:rsid w:val="00A2773F"/>
    <w:rsid w:val="00A277CE"/>
    <w:rsid w:val="00A30B8C"/>
    <w:rsid w:val="00A340F1"/>
    <w:rsid w:val="00A43B8D"/>
    <w:rsid w:val="00A4663B"/>
    <w:rsid w:val="00A47C5E"/>
    <w:rsid w:val="00A522D8"/>
    <w:rsid w:val="00A5347E"/>
    <w:rsid w:val="00A62E03"/>
    <w:rsid w:val="00A63419"/>
    <w:rsid w:val="00A65AA8"/>
    <w:rsid w:val="00A67D51"/>
    <w:rsid w:val="00A7089D"/>
    <w:rsid w:val="00A7303C"/>
    <w:rsid w:val="00A73462"/>
    <w:rsid w:val="00A747D7"/>
    <w:rsid w:val="00A75C7A"/>
    <w:rsid w:val="00A84BDF"/>
    <w:rsid w:val="00A91D2D"/>
    <w:rsid w:val="00A93166"/>
    <w:rsid w:val="00A95377"/>
    <w:rsid w:val="00A95FF8"/>
    <w:rsid w:val="00AA229F"/>
    <w:rsid w:val="00AA26AC"/>
    <w:rsid w:val="00AA49E9"/>
    <w:rsid w:val="00AA64CF"/>
    <w:rsid w:val="00AA6E91"/>
    <w:rsid w:val="00AA7609"/>
    <w:rsid w:val="00AB0790"/>
    <w:rsid w:val="00AB48F8"/>
    <w:rsid w:val="00AB6DD9"/>
    <w:rsid w:val="00AC080A"/>
    <w:rsid w:val="00AC0868"/>
    <w:rsid w:val="00AC5734"/>
    <w:rsid w:val="00AD0431"/>
    <w:rsid w:val="00AD20DE"/>
    <w:rsid w:val="00AE0351"/>
    <w:rsid w:val="00AE6317"/>
    <w:rsid w:val="00AF50F7"/>
    <w:rsid w:val="00AF586B"/>
    <w:rsid w:val="00B02A3B"/>
    <w:rsid w:val="00B0797E"/>
    <w:rsid w:val="00B12D06"/>
    <w:rsid w:val="00B17273"/>
    <w:rsid w:val="00B2052E"/>
    <w:rsid w:val="00B2108D"/>
    <w:rsid w:val="00B23E2A"/>
    <w:rsid w:val="00B24C8C"/>
    <w:rsid w:val="00B31823"/>
    <w:rsid w:val="00B31FFD"/>
    <w:rsid w:val="00B335F6"/>
    <w:rsid w:val="00B36797"/>
    <w:rsid w:val="00B368FE"/>
    <w:rsid w:val="00B37F48"/>
    <w:rsid w:val="00B45226"/>
    <w:rsid w:val="00B46A26"/>
    <w:rsid w:val="00B566C4"/>
    <w:rsid w:val="00B57D6A"/>
    <w:rsid w:val="00B63A01"/>
    <w:rsid w:val="00B645D5"/>
    <w:rsid w:val="00B64A4F"/>
    <w:rsid w:val="00B65426"/>
    <w:rsid w:val="00B6630A"/>
    <w:rsid w:val="00B67D6B"/>
    <w:rsid w:val="00B74B35"/>
    <w:rsid w:val="00B75FC8"/>
    <w:rsid w:val="00B81BA5"/>
    <w:rsid w:val="00B84299"/>
    <w:rsid w:val="00B857A3"/>
    <w:rsid w:val="00B9206A"/>
    <w:rsid w:val="00B94322"/>
    <w:rsid w:val="00B968CB"/>
    <w:rsid w:val="00B9751D"/>
    <w:rsid w:val="00BA0887"/>
    <w:rsid w:val="00BA1AEB"/>
    <w:rsid w:val="00BA4B34"/>
    <w:rsid w:val="00BA601B"/>
    <w:rsid w:val="00BA6E8D"/>
    <w:rsid w:val="00BB0DEF"/>
    <w:rsid w:val="00BB156E"/>
    <w:rsid w:val="00BB1DFD"/>
    <w:rsid w:val="00BB5114"/>
    <w:rsid w:val="00BC0FCF"/>
    <w:rsid w:val="00BC43DB"/>
    <w:rsid w:val="00BC4B91"/>
    <w:rsid w:val="00BC7130"/>
    <w:rsid w:val="00BC72E9"/>
    <w:rsid w:val="00BD1C5C"/>
    <w:rsid w:val="00BE27B6"/>
    <w:rsid w:val="00BE2D7E"/>
    <w:rsid w:val="00BE3885"/>
    <w:rsid w:val="00BF3BEA"/>
    <w:rsid w:val="00BF5491"/>
    <w:rsid w:val="00BF5D9C"/>
    <w:rsid w:val="00C00848"/>
    <w:rsid w:val="00C00B4D"/>
    <w:rsid w:val="00C03248"/>
    <w:rsid w:val="00C0515D"/>
    <w:rsid w:val="00C055AC"/>
    <w:rsid w:val="00C060EB"/>
    <w:rsid w:val="00C0612C"/>
    <w:rsid w:val="00C06244"/>
    <w:rsid w:val="00C104B8"/>
    <w:rsid w:val="00C11745"/>
    <w:rsid w:val="00C12C31"/>
    <w:rsid w:val="00C14F98"/>
    <w:rsid w:val="00C1606F"/>
    <w:rsid w:val="00C2272A"/>
    <w:rsid w:val="00C23577"/>
    <w:rsid w:val="00C4034D"/>
    <w:rsid w:val="00C41C49"/>
    <w:rsid w:val="00C42F5D"/>
    <w:rsid w:val="00C43579"/>
    <w:rsid w:val="00C43878"/>
    <w:rsid w:val="00C502C0"/>
    <w:rsid w:val="00C510DE"/>
    <w:rsid w:val="00C531C7"/>
    <w:rsid w:val="00C55BC8"/>
    <w:rsid w:val="00C56EDB"/>
    <w:rsid w:val="00C60707"/>
    <w:rsid w:val="00C67FB4"/>
    <w:rsid w:val="00C7262E"/>
    <w:rsid w:val="00C72A8B"/>
    <w:rsid w:val="00C73F51"/>
    <w:rsid w:val="00C7533E"/>
    <w:rsid w:val="00C75AF6"/>
    <w:rsid w:val="00C8010B"/>
    <w:rsid w:val="00C81361"/>
    <w:rsid w:val="00C82A3D"/>
    <w:rsid w:val="00C83936"/>
    <w:rsid w:val="00C84EF4"/>
    <w:rsid w:val="00C85632"/>
    <w:rsid w:val="00C91CFE"/>
    <w:rsid w:val="00CA1C24"/>
    <w:rsid w:val="00CA3963"/>
    <w:rsid w:val="00CB13F5"/>
    <w:rsid w:val="00CB1B8A"/>
    <w:rsid w:val="00CB4EC4"/>
    <w:rsid w:val="00CC3639"/>
    <w:rsid w:val="00CC6360"/>
    <w:rsid w:val="00CC64C2"/>
    <w:rsid w:val="00CD0889"/>
    <w:rsid w:val="00CD1553"/>
    <w:rsid w:val="00CD257D"/>
    <w:rsid w:val="00CD6630"/>
    <w:rsid w:val="00CE67D0"/>
    <w:rsid w:val="00CE7749"/>
    <w:rsid w:val="00CF1A3B"/>
    <w:rsid w:val="00CF21E1"/>
    <w:rsid w:val="00CF269F"/>
    <w:rsid w:val="00CF4827"/>
    <w:rsid w:val="00CF643C"/>
    <w:rsid w:val="00CF64B3"/>
    <w:rsid w:val="00D02A5A"/>
    <w:rsid w:val="00D039C9"/>
    <w:rsid w:val="00D05A8F"/>
    <w:rsid w:val="00D075F1"/>
    <w:rsid w:val="00D07A75"/>
    <w:rsid w:val="00D1010C"/>
    <w:rsid w:val="00D111C3"/>
    <w:rsid w:val="00D25DF1"/>
    <w:rsid w:val="00D270AB"/>
    <w:rsid w:val="00D31004"/>
    <w:rsid w:val="00D33051"/>
    <w:rsid w:val="00D405D8"/>
    <w:rsid w:val="00D40874"/>
    <w:rsid w:val="00D41842"/>
    <w:rsid w:val="00D43315"/>
    <w:rsid w:val="00D46DB7"/>
    <w:rsid w:val="00D475D3"/>
    <w:rsid w:val="00D51403"/>
    <w:rsid w:val="00D515E7"/>
    <w:rsid w:val="00D61D3A"/>
    <w:rsid w:val="00D62931"/>
    <w:rsid w:val="00D65AAF"/>
    <w:rsid w:val="00D65D00"/>
    <w:rsid w:val="00D70990"/>
    <w:rsid w:val="00D736CA"/>
    <w:rsid w:val="00D758FB"/>
    <w:rsid w:val="00D76FE5"/>
    <w:rsid w:val="00D810AA"/>
    <w:rsid w:val="00D81635"/>
    <w:rsid w:val="00D81E19"/>
    <w:rsid w:val="00D84BE7"/>
    <w:rsid w:val="00D85657"/>
    <w:rsid w:val="00D86215"/>
    <w:rsid w:val="00D910AC"/>
    <w:rsid w:val="00D93EDF"/>
    <w:rsid w:val="00D9565D"/>
    <w:rsid w:val="00D967A4"/>
    <w:rsid w:val="00DA3314"/>
    <w:rsid w:val="00DA3793"/>
    <w:rsid w:val="00DA5004"/>
    <w:rsid w:val="00DA50E6"/>
    <w:rsid w:val="00DB094D"/>
    <w:rsid w:val="00DB3E5B"/>
    <w:rsid w:val="00DB4CB6"/>
    <w:rsid w:val="00DB67F7"/>
    <w:rsid w:val="00DB6BC9"/>
    <w:rsid w:val="00DC1B11"/>
    <w:rsid w:val="00DD55A9"/>
    <w:rsid w:val="00DD5AB0"/>
    <w:rsid w:val="00DE424D"/>
    <w:rsid w:val="00DE44A6"/>
    <w:rsid w:val="00DE4503"/>
    <w:rsid w:val="00DF1654"/>
    <w:rsid w:val="00DF5895"/>
    <w:rsid w:val="00E00D5B"/>
    <w:rsid w:val="00E06020"/>
    <w:rsid w:val="00E10D5B"/>
    <w:rsid w:val="00E12764"/>
    <w:rsid w:val="00E2191E"/>
    <w:rsid w:val="00E21C95"/>
    <w:rsid w:val="00E223E7"/>
    <w:rsid w:val="00E23182"/>
    <w:rsid w:val="00E252EE"/>
    <w:rsid w:val="00E2628B"/>
    <w:rsid w:val="00E265F3"/>
    <w:rsid w:val="00E33AC6"/>
    <w:rsid w:val="00E40E8B"/>
    <w:rsid w:val="00E44C70"/>
    <w:rsid w:val="00E46AE6"/>
    <w:rsid w:val="00E600B9"/>
    <w:rsid w:val="00E6053B"/>
    <w:rsid w:val="00E65D21"/>
    <w:rsid w:val="00E67F0C"/>
    <w:rsid w:val="00E700B2"/>
    <w:rsid w:val="00E70EA2"/>
    <w:rsid w:val="00E71B23"/>
    <w:rsid w:val="00E73576"/>
    <w:rsid w:val="00E76862"/>
    <w:rsid w:val="00E77195"/>
    <w:rsid w:val="00E77484"/>
    <w:rsid w:val="00E801D3"/>
    <w:rsid w:val="00E82FFE"/>
    <w:rsid w:val="00E863D5"/>
    <w:rsid w:val="00E87B1B"/>
    <w:rsid w:val="00E910C5"/>
    <w:rsid w:val="00E946C9"/>
    <w:rsid w:val="00E95761"/>
    <w:rsid w:val="00E96D63"/>
    <w:rsid w:val="00E96D8B"/>
    <w:rsid w:val="00EA029E"/>
    <w:rsid w:val="00EA29B3"/>
    <w:rsid w:val="00EA4619"/>
    <w:rsid w:val="00EC0060"/>
    <w:rsid w:val="00EC138E"/>
    <w:rsid w:val="00EC33E5"/>
    <w:rsid w:val="00EC3482"/>
    <w:rsid w:val="00ED0DA4"/>
    <w:rsid w:val="00ED22E9"/>
    <w:rsid w:val="00ED269C"/>
    <w:rsid w:val="00ED2806"/>
    <w:rsid w:val="00ED51BE"/>
    <w:rsid w:val="00EE0AAE"/>
    <w:rsid w:val="00EE114A"/>
    <w:rsid w:val="00EE206E"/>
    <w:rsid w:val="00EE6CA9"/>
    <w:rsid w:val="00EE7A19"/>
    <w:rsid w:val="00EF60CA"/>
    <w:rsid w:val="00EF69DD"/>
    <w:rsid w:val="00EF7646"/>
    <w:rsid w:val="00F01959"/>
    <w:rsid w:val="00F039D4"/>
    <w:rsid w:val="00F13B7C"/>
    <w:rsid w:val="00F13FA6"/>
    <w:rsid w:val="00F22851"/>
    <w:rsid w:val="00F22F08"/>
    <w:rsid w:val="00F26BBA"/>
    <w:rsid w:val="00F30DFE"/>
    <w:rsid w:val="00F368EF"/>
    <w:rsid w:val="00F50FB6"/>
    <w:rsid w:val="00F53339"/>
    <w:rsid w:val="00F55014"/>
    <w:rsid w:val="00F64E5A"/>
    <w:rsid w:val="00F70001"/>
    <w:rsid w:val="00F7006C"/>
    <w:rsid w:val="00F72953"/>
    <w:rsid w:val="00F75475"/>
    <w:rsid w:val="00F843EF"/>
    <w:rsid w:val="00F8576D"/>
    <w:rsid w:val="00F962AA"/>
    <w:rsid w:val="00FB1542"/>
    <w:rsid w:val="00FB1B09"/>
    <w:rsid w:val="00FB1B82"/>
    <w:rsid w:val="00FB2141"/>
    <w:rsid w:val="00FB229F"/>
    <w:rsid w:val="00FB3B39"/>
    <w:rsid w:val="00FB4DF4"/>
    <w:rsid w:val="00FB6936"/>
    <w:rsid w:val="00FB69D1"/>
    <w:rsid w:val="00FB74F3"/>
    <w:rsid w:val="00FC0CD8"/>
    <w:rsid w:val="00FC4EDF"/>
    <w:rsid w:val="00FC6546"/>
    <w:rsid w:val="00FD051F"/>
    <w:rsid w:val="00FD463A"/>
    <w:rsid w:val="00FD5388"/>
    <w:rsid w:val="00FD706A"/>
    <w:rsid w:val="00FE0C86"/>
    <w:rsid w:val="00FE668C"/>
    <w:rsid w:val="00FE66FB"/>
    <w:rsid w:val="00FE6E21"/>
    <w:rsid w:val="00FE6EC0"/>
    <w:rsid w:val="00FF28E4"/>
    <w:rsid w:val="00FF4AC3"/>
    <w:rsid w:val="00FF5980"/>
    <w:rsid w:val="00FF7530"/>
    <w:rsid w:val="04364DC3"/>
    <w:rsid w:val="0BB45953"/>
    <w:rsid w:val="0C2C3528"/>
    <w:rsid w:val="2DFA4670"/>
    <w:rsid w:val="3BB836C9"/>
    <w:rsid w:val="68C97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ocked="1"/>
    <w:lsdException w:qFormat="1" w:unhideWhenUsed="0" w:uiPriority="39" w:semiHidden="0" w:name="toc 2" w:locked="1"/>
    <w:lsdException w:qFormat="1" w:uiPriority="39" w:semiHidden="0" w:name="toc 3" w:locked="1"/>
    <w:lsdException w:unhideWhenUsed="0" w:uiPriority="39"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semiHidden="0" w:name="annotation text"/>
    <w:lsdException w:unhideWhenUsed="0" w:uiPriority="0"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39" w:semiHidden="0" w:name="Table Grid" w:locked="1"/>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center" w:pos="4150"/>
        <w:tab w:val="right" w:pos="10103"/>
      </w:tabs>
      <w:spacing w:line="360" w:lineRule="auto"/>
      <w:ind w:firstLine="200" w:firstLineChars="200"/>
      <w:jc w:val="both"/>
    </w:pPr>
    <w:rPr>
      <w:rFonts w:ascii="Times New Roman" w:hAnsi="Times New Roman" w:eastAsia="宋体" w:cs="Times New Roman"/>
      <w:kern w:val="2"/>
      <w:sz w:val="24"/>
      <w:szCs w:val="21"/>
      <w:lang w:val="en-US" w:eastAsia="zh-CN" w:bidi="ar-SA"/>
    </w:rPr>
  </w:style>
  <w:style w:type="paragraph" w:styleId="2">
    <w:name w:val="heading 1"/>
    <w:basedOn w:val="1"/>
    <w:next w:val="1"/>
    <w:link w:val="24"/>
    <w:qFormat/>
    <w:uiPriority w:val="99"/>
    <w:pPr>
      <w:keepNext/>
      <w:ind w:firstLine="0" w:firstLineChars="0"/>
      <w:jc w:val="left"/>
      <w:outlineLvl w:val="0"/>
    </w:pPr>
    <w:rPr>
      <w:rFonts w:eastAsia="黑体"/>
      <w:kern w:val="0"/>
      <w:szCs w:val="20"/>
    </w:rPr>
  </w:style>
  <w:style w:type="paragraph" w:styleId="3">
    <w:name w:val="heading 2"/>
    <w:basedOn w:val="1"/>
    <w:next w:val="1"/>
    <w:link w:val="25"/>
    <w:qFormat/>
    <w:uiPriority w:val="99"/>
    <w:pPr>
      <w:keepNext/>
      <w:tabs>
        <w:tab w:val="right" w:leader="middleDot" w:pos="8505"/>
        <w:tab w:val="clear" w:pos="4150"/>
        <w:tab w:val="clear" w:pos="10103"/>
      </w:tabs>
      <w:ind w:firstLine="0" w:firstLineChars="0"/>
      <w:jc w:val="left"/>
      <w:outlineLvl w:val="1"/>
    </w:pPr>
    <w:rPr>
      <w:rFonts w:eastAsia="黑体"/>
      <w:kern w:val="0"/>
      <w:szCs w:val="20"/>
    </w:rPr>
  </w:style>
  <w:style w:type="paragraph" w:styleId="4">
    <w:name w:val="heading 3"/>
    <w:basedOn w:val="1"/>
    <w:next w:val="1"/>
    <w:link w:val="26"/>
    <w:qFormat/>
    <w:uiPriority w:val="99"/>
    <w:pPr>
      <w:keepNext/>
      <w:tabs>
        <w:tab w:val="right" w:leader="middleDot" w:pos="8505"/>
        <w:tab w:val="clear" w:pos="4150"/>
        <w:tab w:val="clear" w:pos="10103"/>
      </w:tabs>
      <w:ind w:firstLine="0" w:firstLineChars="0"/>
      <w:jc w:val="left"/>
      <w:outlineLvl w:val="2"/>
    </w:pPr>
    <w:rPr>
      <w:rFonts w:eastAsia="黑体"/>
      <w:kern w:val="0"/>
      <w:szCs w:val="20"/>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7"/>
    <w:unhideWhenUsed/>
    <w:qFormat/>
    <w:uiPriority w:val="99"/>
    <w:pPr>
      <w:jc w:val="left"/>
    </w:pPr>
  </w:style>
  <w:style w:type="paragraph" w:styleId="6">
    <w:name w:val="Block Text"/>
    <w:basedOn w:val="1"/>
    <w:qFormat/>
    <w:uiPriority w:val="0"/>
    <w:pPr>
      <w:ind w:left="-1418" w:right="-1558" w:firstLine="1418"/>
    </w:pPr>
    <w:rPr>
      <w:sz w:val="28"/>
      <w:szCs w:val="20"/>
    </w:rPr>
  </w:style>
  <w:style w:type="paragraph" w:styleId="7">
    <w:name w:val="toc 3"/>
    <w:basedOn w:val="1"/>
    <w:next w:val="1"/>
    <w:autoRedefine/>
    <w:unhideWhenUsed/>
    <w:qFormat/>
    <w:locked/>
    <w:uiPriority w:val="39"/>
    <w:pPr>
      <w:widowControl/>
      <w:tabs>
        <w:tab w:val="clear" w:pos="4150"/>
        <w:tab w:val="clear" w:pos="10103"/>
      </w:tabs>
      <w:spacing w:after="100" w:line="259" w:lineRule="auto"/>
      <w:ind w:left="440" w:firstLine="0" w:firstLineChars="0"/>
      <w:jc w:val="left"/>
    </w:pPr>
    <w:rPr>
      <w:rFonts w:asciiTheme="minorHAnsi" w:hAnsiTheme="minorHAnsi" w:eastAsiaTheme="minorEastAsia"/>
      <w:kern w:val="0"/>
      <w:sz w:val="22"/>
      <w:szCs w:val="22"/>
    </w:rPr>
  </w:style>
  <w:style w:type="paragraph" w:styleId="8">
    <w:name w:val="Plain Text"/>
    <w:basedOn w:val="1"/>
    <w:link w:val="28"/>
    <w:qFormat/>
    <w:uiPriority w:val="0"/>
    <w:rPr>
      <w:rFonts w:ascii="宋体" w:hAnsi="Courier New"/>
      <w:szCs w:val="20"/>
    </w:rPr>
  </w:style>
  <w:style w:type="paragraph" w:styleId="9">
    <w:name w:val="Date"/>
    <w:basedOn w:val="1"/>
    <w:next w:val="1"/>
    <w:link w:val="29"/>
    <w:qFormat/>
    <w:uiPriority w:val="99"/>
    <w:pPr>
      <w:ind w:left="100" w:leftChars="2500"/>
    </w:pPr>
    <w:rPr>
      <w:kern w:val="0"/>
      <w:szCs w:val="24"/>
    </w:rPr>
  </w:style>
  <w:style w:type="paragraph" w:styleId="10">
    <w:name w:val="Balloon Text"/>
    <w:basedOn w:val="1"/>
    <w:link w:val="30"/>
    <w:semiHidden/>
    <w:qFormat/>
    <w:uiPriority w:val="99"/>
    <w:rPr>
      <w:rFonts w:eastAsia="仿宋_GB2312"/>
      <w:kern w:val="0"/>
      <w:sz w:val="18"/>
      <w:szCs w:val="18"/>
    </w:rPr>
  </w:style>
  <w:style w:type="paragraph" w:styleId="11">
    <w:name w:val="footer"/>
    <w:basedOn w:val="1"/>
    <w:link w:val="31"/>
    <w:qFormat/>
    <w:uiPriority w:val="99"/>
    <w:pPr>
      <w:tabs>
        <w:tab w:val="center" w:pos="4153"/>
        <w:tab w:val="right" w:pos="8306"/>
        <w:tab w:val="clear" w:pos="4150"/>
      </w:tabs>
      <w:snapToGrid w:val="0"/>
      <w:jc w:val="left"/>
    </w:pPr>
    <w:rPr>
      <w:kern w:val="0"/>
      <w:sz w:val="18"/>
      <w:szCs w:val="18"/>
    </w:rPr>
  </w:style>
  <w:style w:type="paragraph" w:styleId="12">
    <w:name w:val="header"/>
    <w:basedOn w:val="1"/>
    <w:link w:val="32"/>
    <w:uiPriority w:val="0"/>
    <w:pPr>
      <w:pBdr>
        <w:bottom w:val="single" w:color="auto" w:sz="6" w:space="1"/>
      </w:pBdr>
      <w:tabs>
        <w:tab w:val="center" w:pos="4153"/>
        <w:tab w:val="right" w:pos="8306"/>
        <w:tab w:val="clear" w:pos="4150"/>
      </w:tabs>
      <w:snapToGrid w:val="0"/>
      <w:jc w:val="center"/>
    </w:pPr>
    <w:rPr>
      <w:kern w:val="0"/>
      <w:sz w:val="18"/>
      <w:szCs w:val="18"/>
    </w:rPr>
  </w:style>
  <w:style w:type="paragraph" w:styleId="13">
    <w:name w:val="toc 1"/>
    <w:basedOn w:val="1"/>
    <w:next w:val="1"/>
    <w:qFormat/>
    <w:locked/>
    <w:uiPriority w:val="39"/>
    <w:pPr>
      <w:tabs>
        <w:tab w:val="right" w:leader="middleDot" w:pos="8505"/>
        <w:tab w:val="clear" w:pos="4150"/>
        <w:tab w:val="clear" w:pos="10103"/>
      </w:tabs>
      <w:ind w:firstLine="0" w:firstLineChars="0"/>
    </w:pPr>
  </w:style>
  <w:style w:type="paragraph" w:styleId="14">
    <w:name w:val="toc 4"/>
    <w:basedOn w:val="1"/>
    <w:next w:val="1"/>
    <w:autoRedefine/>
    <w:locked/>
    <w:uiPriority w:val="39"/>
    <w:pPr>
      <w:tabs>
        <w:tab w:val="clear" w:pos="4150"/>
        <w:tab w:val="clear" w:pos="10103"/>
      </w:tabs>
      <w:ind w:left="1260" w:leftChars="600"/>
    </w:pPr>
  </w:style>
  <w:style w:type="paragraph" w:styleId="15">
    <w:name w:val="toc 2"/>
    <w:basedOn w:val="1"/>
    <w:next w:val="1"/>
    <w:qFormat/>
    <w:locked/>
    <w:uiPriority w:val="39"/>
    <w:pPr>
      <w:ind w:left="420" w:leftChars="200"/>
    </w:pPr>
    <w:rPr>
      <w:szCs w:val="24"/>
    </w:rPr>
  </w:style>
  <w:style w:type="paragraph" w:styleId="16">
    <w:name w:val="Title"/>
    <w:basedOn w:val="1"/>
    <w:next w:val="1"/>
    <w:link w:val="49"/>
    <w:qFormat/>
    <w:locked/>
    <w:uiPriority w:val="0"/>
    <w:pPr>
      <w:adjustRightInd w:val="0"/>
      <w:ind w:firstLine="0" w:firstLineChars="0"/>
      <w:jc w:val="center"/>
      <w:outlineLvl w:val="0"/>
    </w:pPr>
    <w:rPr>
      <w:rFonts w:eastAsia="黑体" w:asciiTheme="majorHAnsi" w:hAnsiTheme="majorHAnsi" w:cstheme="majorBidi"/>
      <w:b/>
      <w:bCs/>
      <w:sz w:val="44"/>
      <w:szCs w:val="32"/>
    </w:rPr>
  </w:style>
  <w:style w:type="paragraph" w:styleId="17">
    <w:name w:val="annotation subject"/>
    <w:basedOn w:val="5"/>
    <w:next w:val="5"/>
    <w:link w:val="33"/>
    <w:unhideWhenUsed/>
    <w:qFormat/>
    <w:uiPriority w:val="99"/>
    <w:rPr>
      <w:b/>
      <w:bCs/>
    </w:rPr>
  </w:style>
  <w:style w:type="table" w:styleId="19">
    <w:name w:val="Table Grid"/>
    <w:basedOn w:val="18"/>
    <w:qFormat/>
    <w:locked/>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qFormat/>
    <w:uiPriority w:val="99"/>
    <w:rPr>
      <w:rFonts w:eastAsia="仿宋_GB2312"/>
      <w:sz w:val="24"/>
      <w:szCs w:val="24"/>
    </w:rPr>
  </w:style>
  <w:style w:type="character" w:styleId="22">
    <w:name w:val="Hyperlink"/>
    <w:qFormat/>
    <w:uiPriority w:val="99"/>
    <w:rPr>
      <w:color w:val="0000FF"/>
      <w:u w:val="single"/>
    </w:rPr>
  </w:style>
  <w:style w:type="character" w:styleId="23">
    <w:name w:val="annotation reference"/>
    <w:unhideWhenUsed/>
    <w:qFormat/>
    <w:uiPriority w:val="99"/>
    <w:rPr>
      <w:sz w:val="21"/>
      <w:szCs w:val="21"/>
    </w:rPr>
  </w:style>
  <w:style w:type="character" w:customStyle="1" w:styleId="24">
    <w:name w:val="标题 1 字符"/>
    <w:link w:val="2"/>
    <w:qFormat/>
    <w:locked/>
    <w:uiPriority w:val="99"/>
    <w:rPr>
      <w:rFonts w:ascii="Times New Roman" w:hAnsi="Times New Roman" w:eastAsia="黑体"/>
      <w:sz w:val="24"/>
    </w:rPr>
  </w:style>
  <w:style w:type="character" w:customStyle="1" w:styleId="25">
    <w:name w:val="标题 2 字符"/>
    <w:link w:val="3"/>
    <w:qFormat/>
    <w:locked/>
    <w:uiPriority w:val="99"/>
    <w:rPr>
      <w:rFonts w:ascii="Times New Roman" w:hAnsi="Times New Roman" w:eastAsia="黑体"/>
      <w:sz w:val="24"/>
    </w:rPr>
  </w:style>
  <w:style w:type="character" w:customStyle="1" w:styleId="26">
    <w:name w:val="标题 3 字符"/>
    <w:link w:val="4"/>
    <w:qFormat/>
    <w:locked/>
    <w:uiPriority w:val="99"/>
    <w:rPr>
      <w:rFonts w:ascii="Times New Roman" w:hAnsi="Times New Roman" w:eastAsia="黑体"/>
      <w:sz w:val="24"/>
    </w:rPr>
  </w:style>
  <w:style w:type="character" w:customStyle="1" w:styleId="27">
    <w:name w:val="批注文字 字符"/>
    <w:link w:val="5"/>
    <w:semiHidden/>
    <w:qFormat/>
    <w:uiPriority w:val="99"/>
    <w:rPr>
      <w:rFonts w:ascii="Times New Roman" w:hAnsi="Times New Roman"/>
      <w:kern w:val="2"/>
      <w:sz w:val="21"/>
      <w:szCs w:val="21"/>
    </w:rPr>
  </w:style>
  <w:style w:type="character" w:customStyle="1" w:styleId="28">
    <w:name w:val="纯文本 字符"/>
    <w:link w:val="8"/>
    <w:qFormat/>
    <w:uiPriority w:val="0"/>
    <w:rPr>
      <w:rFonts w:ascii="宋体" w:hAnsi="Courier New"/>
      <w:kern w:val="2"/>
      <w:sz w:val="21"/>
    </w:rPr>
  </w:style>
  <w:style w:type="character" w:customStyle="1" w:styleId="29">
    <w:name w:val="日期 字符"/>
    <w:link w:val="9"/>
    <w:qFormat/>
    <w:locked/>
    <w:uiPriority w:val="99"/>
    <w:rPr>
      <w:rFonts w:ascii="Times New Roman" w:hAnsi="Times New Roman" w:eastAsia="宋体" w:cs="Times New Roman"/>
      <w:sz w:val="24"/>
      <w:szCs w:val="24"/>
    </w:rPr>
  </w:style>
  <w:style w:type="character" w:customStyle="1" w:styleId="30">
    <w:name w:val="批注框文本 字符"/>
    <w:link w:val="10"/>
    <w:semiHidden/>
    <w:qFormat/>
    <w:locked/>
    <w:uiPriority w:val="99"/>
    <w:rPr>
      <w:rFonts w:ascii="Times New Roman" w:hAnsi="Times New Roman" w:eastAsia="仿宋_GB2312" w:cs="Times New Roman"/>
      <w:sz w:val="18"/>
      <w:szCs w:val="18"/>
    </w:rPr>
  </w:style>
  <w:style w:type="character" w:customStyle="1" w:styleId="31">
    <w:name w:val="页脚 字符"/>
    <w:link w:val="11"/>
    <w:qFormat/>
    <w:locked/>
    <w:uiPriority w:val="99"/>
    <w:rPr>
      <w:rFonts w:ascii="Times New Roman" w:hAnsi="Times New Roman" w:eastAsia="宋体" w:cs="Times New Roman"/>
      <w:sz w:val="18"/>
      <w:szCs w:val="18"/>
    </w:rPr>
  </w:style>
  <w:style w:type="character" w:customStyle="1" w:styleId="32">
    <w:name w:val="页眉 字符"/>
    <w:link w:val="12"/>
    <w:qFormat/>
    <w:locked/>
    <w:uiPriority w:val="99"/>
    <w:rPr>
      <w:rFonts w:ascii="Times New Roman" w:hAnsi="Times New Roman" w:eastAsia="宋体" w:cs="Times New Roman"/>
      <w:sz w:val="18"/>
      <w:szCs w:val="18"/>
    </w:rPr>
  </w:style>
  <w:style w:type="character" w:customStyle="1" w:styleId="33">
    <w:name w:val="批注主题 字符"/>
    <w:link w:val="17"/>
    <w:semiHidden/>
    <w:qFormat/>
    <w:uiPriority w:val="99"/>
    <w:rPr>
      <w:rFonts w:ascii="Times New Roman" w:hAnsi="Times New Roman"/>
      <w:b/>
      <w:bCs/>
      <w:kern w:val="2"/>
      <w:sz w:val="21"/>
      <w:szCs w:val="21"/>
    </w:rPr>
  </w:style>
  <w:style w:type="character" w:customStyle="1" w:styleId="34">
    <w:name w:val="Date Char1"/>
    <w:semiHidden/>
    <w:qFormat/>
    <w:uiPriority w:val="99"/>
    <w:rPr>
      <w:rFonts w:ascii="Times New Roman" w:hAnsi="Times New Roman"/>
      <w:szCs w:val="21"/>
    </w:rPr>
  </w:style>
  <w:style w:type="character" w:customStyle="1" w:styleId="35">
    <w:name w:val="日期 Char1"/>
    <w:semiHidden/>
    <w:qFormat/>
    <w:uiPriority w:val="99"/>
    <w:rPr>
      <w:rFonts w:ascii="Times New Roman" w:hAnsi="Times New Roman" w:eastAsia="宋体" w:cs="Times New Roman"/>
      <w:sz w:val="24"/>
      <w:szCs w:val="24"/>
    </w:rPr>
  </w:style>
  <w:style w:type="character" w:customStyle="1" w:styleId="36">
    <w:name w:val="Footer Char1"/>
    <w:semiHidden/>
    <w:qFormat/>
    <w:uiPriority w:val="99"/>
    <w:rPr>
      <w:rFonts w:ascii="Times New Roman" w:hAnsi="Times New Roman"/>
      <w:sz w:val="18"/>
      <w:szCs w:val="18"/>
    </w:rPr>
  </w:style>
  <w:style w:type="character" w:customStyle="1" w:styleId="37">
    <w:name w:val="页脚 Char1"/>
    <w:semiHidden/>
    <w:qFormat/>
    <w:uiPriority w:val="99"/>
    <w:rPr>
      <w:rFonts w:ascii="Times New Roman" w:hAnsi="Times New Roman" w:eastAsia="宋体" w:cs="Times New Roman"/>
      <w:sz w:val="18"/>
      <w:szCs w:val="18"/>
    </w:rPr>
  </w:style>
  <w:style w:type="character" w:customStyle="1" w:styleId="38">
    <w:name w:val="Header Char1"/>
    <w:semiHidden/>
    <w:qFormat/>
    <w:uiPriority w:val="99"/>
    <w:rPr>
      <w:rFonts w:ascii="Times New Roman" w:hAnsi="Times New Roman"/>
      <w:sz w:val="18"/>
      <w:szCs w:val="18"/>
    </w:rPr>
  </w:style>
  <w:style w:type="character" w:customStyle="1" w:styleId="39">
    <w:name w:val="页眉 Char1"/>
    <w:semiHidden/>
    <w:qFormat/>
    <w:uiPriority w:val="99"/>
    <w:rPr>
      <w:rFonts w:ascii="Times New Roman" w:hAnsi="Times New Roman" w:eastAsia="宋体" w:cs="Times New Roman"/>
      <w:sz w:val="18"/>
      <w:szCs w:val="18"/>
    </w:rPr>
  </w:style>
  <w:style w:type="paragraph" w:customStyle="1" w:styleId="40">
    <w:name w:val="Char Char Char Char Char Char Char Char Char Char Char Char Char"/>
    <w:basedOn w:val="1"/>
    <w:qFormat/>
    <w:uiPriority w:val="99"/>
    <w:pPr>
      <w:snapToGrid w:val="0"/>
    </w:pPr>
    <w:rPr>
      <w:rFonts w:eastAsia="仿宋_GB2312"/>
      <w:szCs w:val="24"/>
    </w:rPr>
  </w:style>
  <w:style w:type="character" w:styleId="41">
    <w:name w:val="Placeholder Text"/>
    <w:semiHidden/>
    <w:qFormat/>
    <w:uiPriority w:val="99"/>
    <w:rPr>
      <w:rFonts w:eastAsia="仿宋_GB2312"/>
      <w:color w:val="808080"/>
      <w:sz w:val="24"/>
      <w:szCs w:val="24"/>
    </w:rPr>
  </w:style>
  <w:style w:type="paragraph" w:customStyle="1" w:styleId="42">
    <w:name w:val="默认段落字体 Para Char"/>
    <w:basedOn w:val="1"/>
    <w:qFormat/>
    <w:uiPriority w:val="0"/>
    <w:rPr>
      <w:rFonts w:ascii="Tahoma" w:hAnsi="Tahoma"/>
      <w:iCs/>
      <w:szCs w:val="20"/>
    </w:rPr>
  </w:style>
  <w:style w:type="paragraph" w:customStyle="1" w:styleId="43">
    <w:name w:val="Char"/>
    <w:basedOn w:val="1"/>
    <w:qFormat/>
    <w:uiPriority w:val="0"/>
    <w:rPr>
      <w:szCs w:val="24"/>
    </w:rPr>
  </w:style>
  <w:style w:type="paragraph" w:customStyle="1" w:styleId="44">
    <w:name w:val="_Style 40"/>
    <w:semiHidden/>
    <w:qFormat/>
    <w:uiPriority w:val="99"/>
    <w:rPr>
      <w:rFonts w:ascii="Times New Roman" w:hAnsi="Times New Roman" w:eastAsia="宋体" w:cs="Times New Roman"/>
      <w:kern w:val="2"/>
      <w:sz w:val="21"/>
      <w:szCs w:val="21"/>
      <w:lang w:val="en-US" w:eastAsia="zh-CN" w:bidi="ar-SA"/>
    </w:rPr>
  </w:style>
  <w:style w:type="paragraph" w:customStyle="1" w:styleId="45">
    <w:name w:val="标准文件_段"/>
    <w:qFormat/>
    <w:uiPriority w:val="0"/>
    <w:pPr>
      <w:autoSpaceDE w:val="0"/>
      <w:autoSpaceDN w:val="0"/>
      <w:spacing w:line="360" w:lineRule="auto"/>
      <w:ind w:firstLine="560" w:firstLineChars="200"/>
    </w:pPr>
    <w:rPr>
      <w:rFonts w:ascii="Times New Roman" w:hAnsi="Times New Roman" w:eastAsia="黑体" w:cs="Times New Roman"/>
      <w:spacing w:val="2"/>
      <w:sz w:val="24"/>
      <w:szCs w:val="24"/>
      <w:lang w:val="en-US" w:eastAsia="zh-CN" w:bidi="ar-SA"/>
    </w:rPr>
  </w:style>
  <w:style w:type="paragraph" w:styleId="46">
    <w:name w:val="List Paragraph"/>
    <w:basedOn w:val="1"/>
    <w:unhideWhenUsed/>
    <w:qFormat/>
    <w:uiPriority w:val="34"/>
    <w:pPr>
      <w:ind w:firstLine="420"/>
    </w:pPr>
  </w:style>
  <w:style w:type="paragraph" w:customStyle="1" w:styleId="47">
    <w:name w:val="修订1"/>
    <w:hidden/>
    <w:unhideWhenUsed/>
    <w:qFormat/>
    <w:uiPriority w:val="99"/>
    <w:rPr>
      <w:rFonts w:ascii="Times New Roman" w:hAnsi="Times New Roman" w:eastAsia="宋体" w:cs="Times New Roman"/>
      <w:kern w:val="2"/>
      <w:sz w:val="21"/>
      <w:szCs w:val="21"/>
      <w:lang w:val="en-US" w:eastAsia="zh-CN" w:bidi="ar-SA"/>
    </w:rPr>
  </w:style>
  <w:style w:type="paragraph" w:customStyle="1" w:styleId="48">
    <w:name w:val="TOC 标题1"/>
    <w:basedOn w:val="2"/>
    <w:next w:val="1"/>
    <w:unhideWhenUsed/>
    <w:qFormat/>
    <w:uiPriority w:val="39"/>
    <w:pPr>
      <w:keepLines/>
      <w:widowControl/>
      <w:tabs>
        <w:tab w:val="clear" w:pos="4150"/>
        <w:tab w:val="clear" w:pos="10103"/>
      </w:tabs>
      <w:spacing w:before="240" w:line="259" w:lineRule="auto"/>
      <w:outlineLvl w:val="9"/>
    </w:pPr>
    <w:rPr>
      <w:rFonts w:asciiTheme="majorHAnsi" w:hAnsiTheme="majorHAnsi" w:eastAsiaTheme="majorEastAsia" w:cstheme="majorBidi"/>
      <w:color w:val="376092" w:themeColor="accent1" w:themeShade="BF"/>
      <w:sz w:val="32"/>
      <w:szCs w:val="32"/>
    </w:rPr>
  </w:style>
  <w:style w:type="character" w:customStyle="1" w:styleId="49">
    <w:name w:val="标题 字符"/>
    <w:basedOn w:val="20"/>
    <w:link w:val="16"/>
    <w:qFormat/>
    <w:uiPriority w:val="0"/>
    <w:rPr>
      <w:rFonts w:eastAsia="黑体" w:asciiTheme="majorHAnsi" w:hAnsiTheme="majorHAnsi" w:cstheme="majorBidi"/>
      <w:b/>
      <w:bCs/>
      <w:kern w:val="2"/>
      <w:sz w:val="44"/>
      <w:szCs w:val="32"/>
    </w:rPr>
  </w:style>
  <w:style w:type="paragraph" w:customStyle="1" w:styleId="50">
    <w:name w:val="规范名称"/>
    <w:basedOn w:val="1"/>
    <w:link w:val="51"/>
    <w:qFormat/>
    <w:uiPriority w:val="0"/>
    <w:pPr>
      <w:ind w:firstLine="480"/>
      <w:jc w:val="center"/>
    </w:pPr>
    <w:rPr>
      <w:rFonts w:eastAsia="黑体"/>
      <w:sz w:val="32"/>
    </w:rPr>
  </w:style>
  <w:style w:type="character" w:customStyle="1" w:styleId="51">
    <w:name w:val="规范名称 字符"/>
    <w:basedOn w:val="20"/>
    <w:link w:val="50"/>
    <w:qFormat/>
    <w:uiPriority w:val="0"/>
    <w:rPr>
      <w:rFonts w:ascii="Times New Roman" w:hAnsi="Times New Roman" w:eastAsia="黑体"/>
      <w:kern w:val="2"/>
      <w:sz w:val="32"/>
      <w:szCs w:val="21"/>
    </w:rPr>
  </w:style>
  <w:style w:type="paragraph" w:customStyle="1" w:styleId="52">
    <w:name w:val="引言"/>
    <w:basedOn w:val="2"/>
    <w:next w:val="1"/>
    <w:link w:val="53"/>
    <w:qFormat/>
    <w:uiPriority w:val="0"/>
    <w:pPr>
      <w:tabs>
        <w:tab w:val="right" w:leader="middleDot" w:pos="8505"/>
        <w:tab w:val="clear" w:pos="4150"/>
        <w:tab w:val="clear" w:pos="10103"/>
      </w:tabs>
      <w:jc w:val="center"/>
    </w:pPr>
    <w:rPr>
      <w:sz w:val="44"/>
    </w:rPr>
  </w:style>
  <w:style w:type="character" w:customStyle="1" w:styleId="53">
    <w:name w:val="引言 字符"/>
    <w:basedOn w:val="24"/>
    <w:link w:val="52"/>
    <w:qFormat/>
    <w:uiPriority w:val="0"/>
    <w:rPr>
      <w:rFonts w:ascii="Times New Roman" w:hAnsi="Times New Roman" w:eastAsia="黑体"/>
      <w:sz w:val="44"/>
    </w:rPr>
  </w:style>
  <w:style w:type="paragraph" w:customStyle="1" w:styleId="54">
    <w:name w:val="附录标题1"/>
    <w:basedOn w:val="1"/>
    <w:next w:val="1"/>
    <w:link w:val="55"/>
    <w:qFormat/>
    <w:uiPriority w:val="0"/>
    <w:pPr>
      <w:ind w:firstLine="0" w:firstLineChars="0"/>
      <w:jc w:val="left"/>
    </w:pPr>
    <w:rPr>
      <w:rFonts w:eastAsia="黑体"/>
    </w:rPr>
  </w:style>
  <w:style w:type="character" w:customStyle="1" w:styleId="55">
    <w:name w:val="附录标题1 字符"/>
    <w:basedOn w:val="20"/>
    <w:link w:val="54"/>
    <w:qFormat/>
    <w:uiPriority w:val="0"/>
    <w:rPr>
      <w:rFonts w:ascii="Times New Roman" w:hAnsi="Times New Roman" w:eastAsia="黑体"/>
      <w:kern w:val="2"/>
      <w:sz w:val="24"/>
      <w:szCs w:val="21"/>
    </w:rPr>
  </w:style>
  <w:style w:type="paragraph" w:customStyle="1" w:styleId="56">
    <w:name w:val="附录标题2"/>
    <w:basedOn w:val="54"/>
    <w:link w:val="57"/>
    <w:qFormat/>
    <w:uiPriority w:val="0"/>
  </w:style>
  <w:style w:type="character" w:customStyle="1" w:styleId="57">
    <w:name w:val="附录标题2 字符"/>
    <w:basedOn w:val="55"/>
    <w:link w:val="56"/>
    <w:qFormat/>
    <w:uiPriority w:val="0"/>
    <w:rPr>
      <w:rFonts w:ascii="Times New Roman" w:hAnsi="Times New Roman" w:eastAsia="黑体"/>
      <w:kern w:val="2"/>
      <w:sz w:val="24"/>
      <w:szCs w:val="21"/>
    </w:rPr>
  </w:style>
  <w:style w:type="paragraph" w:customStyle="1" w:styleId="58">
    <w:name w:val="黑体四号"/>
    <w:basedOn w:val="16"/>
    <w:link w:val="59"/>
    <w:qFormat/>
    <w:uiPriority w:val="0"/>
    <w:pPr>
      <w:ind w:firstLine="883"/>
    </w:pPr>
    <w:rPr>
      <w:rFonts w:ascii="黑体" w:hAnsi="黑体"/>
      <w:sz w:val="28"/>
      <w:szCs w:val="28"/>
    </w:rPr>
  </w:style>
  <w:style w:type="character" w:customStyle="1" w:styleId="59">
    <w:name w:val="黑体四号 字符"/>
    <w:basedOn w:val="49"/>
    <w:link w:val="58"/>
    <w:qFormat/>
    <w:uiPriority w:val="0"/>
    <w:rPr>
      <w:rFonts w:ascii="黑体" w:hAnsi="黑体" w:eastAsia="黑体" w:cstheme="majorBidi"/>
      <w:kern w:val="2"/>
      <w:sz w:val="28"/>
      <w:szCs w:val="28"/>
    </w:rPr>
  </w:style>
  <w:style w:type="paragraph" w:customStyle="1" w:styleId="60">
    <w:name w:val="图题及表格中的文字"/>
    <w:basedOn w:val="1"/>
    <w:link w:val="61"/>
    <w:qFormat/>
    <w:uiPriority w:val="0"/>
    <w:pPr>
      <w:ind w:firstLine="0" w:firstLineChars="0"/>
      <w:jc w:val="center"/>
    </w:pPr>
    <w:rPr>
      <w:rFonts w:hAnsi="宋体"/>
      <w:kern w:val="0"/>
      <w:sz w:val="21"/>
    </w:rPr>
  </w:style>
  <w:style w:type="character" w:customStyle="1" w:styleId="61">
    <w:name w:val="图题及表格中的文字 字符"/>
    <w:basedOn w:val="20"/>
    <w:link w:val="60"/>
    <w:qFormat/>
    <w:uiPriority w:val="0"/>
    <w:rPr>
      <w:rFonts w:ascii="Times New Roman" w:hAnsi="宋体"/>
      <w:sz w:val="21"/>
      <w:szCs w:val="21"/>
    </w:rPr>
  </w:style>
  <w:style w:type="paragraph" w:customStyle="1" w:styleId="62">
    <w:name w:val="表题"/>
    <w:basedOn w:val="1"/>
    <w:link w:val="63"/>
    <w:qFormat/>
    <w:uiPriority w:val="0"/>
    <w:pPr>
      <w:ind w:firstLine="0" w:firstLineChars="0"/>
      <w:jc w:val="center"/>
    </w:pPr>
    <w:rPr>
      <w:rFonts w:eastAsia="黑体"/>
    </w:rPr>
  </w:style>
  <w:style w:type="character" w:customStyle="1" w:styleId="63">
    <w:name w:val="表题 字符"/>
    <w:basedOn w:val="20"/>
    <w:link w:val="62"/>
    <w:qFormat/>
    <w:uiPriority w:val="0"/>
    <w:rPr>
      <w:rFonts w:ascii="Times New Roman" w:hAnsi="Times New Roman" w:eastAsia="黑体"/>
      <w:kern w:val="2"/>
      <w:sz w:val="24"/>
      <w:szCs w:val="21"/>
    </w:rPr>
  </w:style>
  <w:style w:type="paragraph" w:customStyle="1" w:styleId="64">
    <w:name w:val="图注"/>
    <w:basedOn w:val="1"/>
    <w:next w:val="1"/>
    <w:link w:val="65"/>
    <w:qFormat/>
    <w:uiPriority w:val="0"/>
    <w:pPr>
      <w:ind w:firstLine="0" w:firstLineChars="0"/>
      <w:jc w:val="center"/>
    </w:pPr>
    <w:rPr>
      <w:sz w:val="18"/>
    </w:rPr>
  </w:style>
  <w:style w:type="character" w:customStyle="1" w:styleId="65">
    <w:name w:val="图注 字符"/>
    <w:basedOn w:val="20"/>
    <w:link w:val="64"/>
    <w:qFormat/>
    <w:uiPriority w:val="0"/>
    <w:rPr>
      <w:rFonts w:ascii="Times New Roman" w:hAnsi="Times New Roman"/>
      <w:kern w:val="2"/>
      <w:sz w:val="18"/>
      <w:szCs w:val="21"/>
    </w:rPr>
  </w:style>
  <w:style w:type="paragraph" w:customStyle="1" w:styleId="66">
    <w:name w:val="Revision"/>
    <w:hidden/>
    <w:unhideWhenUsed/>
    <w:qFormat/>
    <w:uiPriority w:val="99"/>
    <w:rPr>
      <w:rFonts w:ascii="Times New Roman" w:hAnsi="Times New Roman" w:eastAsia="宋体" w:cs="Times New Roman"/>
      <w:kern w:val="2"/>
      <w:sz w:val="24"/>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customXml" Target="../customXml/item1.xml"/><Relationship Id="rId25" Type="http://schemas.openxmlformats.org/officeDocument/2006/relationships/image" Target="media/image7.png"/><Relationship Id="rId24" Type="http://schemas.openxmlformats.org/officeDocument/2006/relationships/image" Target="media/image6.png"/><Relationship Id="rId23" Type="http://schemas.openxmlformats.org/officeDocument/2006/relationships/image" Target="media/image5.png"/><Relationship Id="rId22" Type="http://schemas.openxmlformats.org/officeDocument/2006/relationships/image" Target="media/image4.png"/><Relationship Id="rId21" Type="http://schemas.openxmlformats.org/officeDocument/2006/relationships/image" Target="media/image3.png"/><Relationship Id="rId20" Type="http://schemas.openxmlformats.org/officeDocument/2006/relationships/image" Target="media/image2.wmf"/><Relationship Id="rId2" Type="http://schemas.openxmlformats.org/officeDocument/2006/relationships/settings" Target="settings.xml"/><Relationship Id="rId19" Type="http://schemas.openxmlformats.org/officeDocument/2006/relationships/image" Target="file:///C:\Users\Administrator\AppData\Roaming\Tencent\Users\21359233\QQ\WinTemp\RichOle\772~1O4HXZEI_K7XGVEJ3Z7.png" TargetMode="Externa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84809E-6ED0-4591-AE84-BD60BAE64221}">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18</Pages>
  <Words>3888</Words>
  <Characters>4654</Characters>
  <Lines>57</Lines>
  <Paragraphs>16</Paragraphs>
  <TotalTime>49</TotalTime>
  <ScaleCrop>false</ScaleCrop>
  <LinksUpToDate>false</LinksUpToDate>
  <CharactersWithSpaces>5093</CharactersWithSpaces>
  <Application>WPS Office_12.1.0.17145_F1E327BC-269C-435d-A152-05C5408002CA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2024-10-09T01:03:00Z</dcterms:created>
  <dc:creator>FHX</dc:creator>
  <cp:lastModifiedBy>Bruis Kim</cp:lastModifiedBy>
  <cp:lastPrinted>2021-09-24T02:41:00Z</cp:lastPrinted>
  <dcterms:modified xsi:type="dcterms:W3CDTF">2024-10-22T08:54:12Z</dcterms:modified>
  <dc:title>中国测试技术研究院</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2052-12.1.0.17145</vt:lpwstr>
  </property>
  <property fmtid="{D5CDD505-2E9C-101B-9397-08002B2CF9AE}" pid="3" name="ICV">
    <vt:lpwstr>80F34BF2DD15468FB9C481DBB2D6BF52_13</vt:lpwstr>
  </property>
</Properties>
</file>